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D4005" w14:textId="77777777" w:rsidR="00717FD0" w:rsidRDefault="00717FD0" w:rsidP="00616D25">
      <w:pPr>
        <w:rPr>
          <w:rFonts w:ascii="Arial" w:hAnsi="Arial" w:cs="Arial"/>
          <w:b/>
          <w:sz w:val="36"/>
          <w:szCs w:val="36"/>
        </w:rPr>
      </w:pPr>
    </w:p>
    <w:p w14:paraId="283DAB0D" w14:textId="77777777" w:rsidR="0081513E" w:rsidRPr="00616D25" w:rsidRDefault="00826DDA" w:rsidP="00616D25">
      <w:pPr>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00562676" w:rsidRPr="00616D25">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0E9E5F54" w14:textId="4F21ED4B" w:rsidR="009454EF" w:rsidRPr="00503E45" w:rsidRDefault="007E12FE" w:rsidP="00503E45">
      <w:pPr>
        <w:pStyle w:val="GPSL2Numbered"/>
        <w:ind w:left="0" w:firstLine="0"/>
        <w:jc w:val="left"/>
        <w:rPr>
          <w:rFonts w:ascii="Arial" w:eastAsia="Arial" w:hAnsi="Arial"/>
          <w:b/>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sidR="00826DDA">
        <w:rPr>
          <w:rFonts w:ascii="Arial" w:hAnsi="Arial"/>
          <w:sz w:val="24"/>
        </w:rPr>
        <w:t>Order</w:t>
      </w:r>
      <w:r>
        <w:rPr>
          <w:rFonts w:ascii="Arial" w:hAnsi="Arial"/>
          <w:sz w:val="24"/>
        </w:rPr>
        <w:t xml:space="preserve"> Contract</w:t>
      </w:r>
      <w:r w:rsidR="00793CD9">
        <w:rPr>
          <w:rFonts w:ascii="Arial" w:eastAsia="Arial" w:hAnsi="Arial"/>
          <w:b/>
        </w:rPr>
        <w:t xml:space="preserve"> </w:t>
      </w:r>
      <w:r w:rsidR="009454EF">
        <w:t xml:space="preserve"> </w:t>
      </w:r>
    </w:p>
    <w:p w14:paraId="6CBBDDB3" w14:textId="77777777" w:rsidR="009454EF" w:rsidRDefault="009454EF">
      <w:pPr>
        <w:spacing w:after="110" w:line="259" w:lineRule="auto"/>
        <w:ind w:left="708"/>
      </w:pPr>
      <w:r>
        <w:rPr>
          <w:noProof/>
        </w:rPr>
        <w:drawing>
          <wp:inline distT="0" distB="0" distL="0" distR="0" wp14:anchorId="0DADCE6C" wp14:editId="5FD4D09C">
            <wp:extent cx="1428750" cy="866775"/>
            <wp:effectExtent l="0" t="0" r="0" b="0"/>
            <wp:docPr id="39" name="Picture 39"/>
            <wp:cNvGraphicFramePr/>
            <a:graphic xmlns:a="http://schemas.openxmlformats.org/drawingml/2006/main">
              <a:graphicData uri="http://schemas.openxmlformats.org/drawingml/2006/picture">
                <pic:pic xmlns:pic="http://schemas.openxmlformats.org/drawingml/2006/picture">
                  <pic:nvPicPr>
                    <pic:cNvPr id="39" name="Picture 39"/>
                    <pic:cNvPicPr/>
                  </pic:nvPicPr>
                  <pic:blipFill>
                    <a:blip r:embed="rId8"/>
                    <a:stretch>
                      <a:fillRect/>
                    </a:stretch>
                  </pic:blipFill>
                  <pic:spPr>
                    <a:xfrm>
                      <a:off x="0" y="0"/>
                      <a:ext cx="1428750" cy="866775"/>
                    </a:xfrm>
                    <a:prstGeom prst="rect">
                      <a:avLst/>
                    </a:prstGeom>
                  </pic:spPr>
                </pic:pic>
              </a:graphicData>
            </a:graphic>
          </wp:inline>
        </w:drawing>
      </w:r>
      <w:r>
        <w:t xml:space="preserve"> </w:t>
      </w:r>
    </w:p>
    <w:p w14:paraId="7E35011A" w14:textId="77777777" w:rsidR="009454EF" w:rsidRDefault="009454EF">
      <w:pPr>
        <w:spacing w:after="158" w:line="259" w:lineRule="auto"/>
        <w:ind w:left="708"/>
      </w:pPr>
      <w:r>
        <w:t xml:space="preserve"> </w:t>
      </w:r>
    </w:p>
    <w:p w14:paraId="527843FF" w14:textId="77777777" w:rsidR="009454EF" w:rsidRDefault="009454EF">
      <w:pPr>
        <w:spacing w:after="160" w:line="259" w:lineRule="auto"/>
        <w:ind w:left="708"/>
      </w:pPr>
      <w:r>
        <w:t xml:space="preserve"> </w:t>
      </w:r>
    </w:p>
    <w:p w14:paraId="6AD569B9" w14:textId="77777777" w:rsidR="009454EF" w:rsidRDefault="009454EF">
      <w:pPr>
        <w:spacing w:after="352" w:line="259" w:lineRule="auto"/>
        <w:ind w:left="708"/>
      </w:pPr>
      <w:r>
        <w:t xml:space="preserve"> </w:t>
      </w:r>
    </w:p>
    <w:p w14:paraId="1845C11D" w14:textId="77777777" w:rsidR="009454EF" w:rsidRDefault="009454EF">
      <w:pPr>
        <w:spacing w:after="0" w:line="259" w:lineRule="auto"/>
        <w:ind w:left="4111" w:hanging="3173"/>
      </w:pPr>
      <w:r>
        <w:rPr>
          <w:rFonts w:ascii="Arial" w:eastAsia="Arial" w:hAnsi="Arial" w:cs="Arial"/>
          <w:b/>
          <w:sz w:val="36"/>
        </w:rPr>
        <w:t xml:space="preserve">Research Specification to explore take-up rates of Child Benefit </w:t>
      </w:r>
    </w:p>
    <w:p w14:paraId="470E4662" w14:textId="77777777" w:rsidR="009454EF" w:rsidRDefault="009454EF">
      <w:pPr>
        <w:spacing w:after="235" w:line="259" w:lineRule="auto"/>
        <w:ind w:left="708"/>
      </w:pPr>
      <w:r>
        <w:t xml:space="preserve"> </w:t>
      </w:r>
    </w:p>
    <w:p w14:paraId="09AEF712" w14:textId="77777777" w:rsidR="009454EF" w:rsidRDefault="009454EF">
      <w:pPr>
        <w:spacing w:after="165" w:line="259" w:lineRule="auto"/>
        <w:ind w:left="700"/>
        <w:jc w:val="center"/>
      </w:pPr>
      <w:r>
        <w:rPr>
          <w:rFonts w:ascii="Arial" w:eastAsia="Arial" w:hAnsi="Arial" w:cs="Arial"/>
          <w:b/>
          <w:sz w:val="32"/>
        </w:rPr>
        <w:t>CCS Research &amp; Insights Agreement (RM6126)</w:t>
      </w:r>
      <w:r>
        <w:t xml:space="preserve"> </w:t>
      </w:r>
    </w:p>
    <w:p w14:paraId="18491C5F" w14:textId="77777777" w:rsidR="009454EF" w:rsidRDefault="009454EF">
      <w:pPr>
        <w:spacing w:after="175" w:line="259" w:lineRule="auto"/>
        <w:ind w:left="708"/>
      </w:pPr>
      <w:r>
        <w:rPr>
          <w:rFonts w:ascii="Arial" w:eastAsia="Arial" w:hAnsi="Arial" w:cs="Arial"/>
          <w:b/>
          <w:i/>
        </w:rPr>
        <w:t xml:space="preserve"> </w:t>
      </w:r>
    </w:p>
    <w:p w14:paraId="47D23025" w14:textId="77777777" w:rsidR="009454EF" w:rsidRDefault="009454EF">
      <w:pPr>
        <w:spacing w:after="47" w:line="259" w:lineRule="auto"/>
        <w:ind w:left="702"/>
        <w:jc w:val="center"/>
      </w:pPr>
      <w:r>
        <w:rPr>
          <w:rFonts w:ascii="Arial" w:eastAsia="Arial" w:hAnsi="Arial" w:cs="Arial"/>
          <w:b/>
          <w:sz w:val="36"/>
        </w:rPr>
        <w:t xml:space="preserve">Invitation to Tender </w:t>
      </w:r>
    </w:p>
    <w:p w14:paraId="658DC7CB" w14:textId="77777777" w:rsidR="009454EF" w:rsidRDefault="009454EF">
      <w:pPr>
        <w:spacing w:after="158" w:line="259" w:lineRule="auto"/>
        <w:ind w:left="708"/>
      </w:pPr>
      <w:r>
        <w:t xml:space="preserve"> </w:t>
      </w:r>
    </w:p>
    <w:p w14:paraId="0B36941C" w14:textId="77777777" w:rsidR="009454EF" w:rsidRDefault="009454EF">
      <w:pPr>
        <w:spacing w:after="160" w:line="259" w:lineRule="auto"/>
        <w:ind w:left="708"/>
      </w:pPr>
      <w:r>
        <w:t xml:space="preserve"> </w:t>
      </w:r>
    </w:p>
    <w:p w14:paraId="47DCB616" w14:textId="77777777" w:rsidR="009454EF" w:rsidRDefault="009454EF">
      <w:pPr>
        <w:spacing w:after="160" w:line="259" w:lineRule="auto"/>
        <w:ind w:left="708"/>
      </w:pPr>
      <w:r>
        <w:t xml:space="preserve"> </w:t>
      </w:r>
    </w:p>
    <w:p w14:paraId="79424181" w14:textId="77777777" w:rsidR="009454EF" w:rsidRDefault="009454EF">
      <w:pPr>
        <w:spacing w:after="160" w:line="259" w:lineRule="auto"/>
        <w:ind w:left="708"/>
      </w:pPr>
      <w:r>
        <w:t xml:space="preserve"> </w:t>
      </w:r>
    </w:p>
    <w:p w14:paraId="7DD7F80E" w14:textId="77777777" w:rsidR="009454EF" w:rsidRDefault="009454EF">
      <w:pPr>
        <w:spacing w:after="158" w:line="259" w:lineRule="auto"/>
        <w:ind w:left="708"/>
      </w:pPr>
      <w:r>
        <w:t xml:space="preserve"> </w:t>
      </w:r>
    </w:p>
    <w:p w14:paraId="61543D93" w14:textId="77777777" w:rsidR="009454EF" w:rsidRDefault="009454EF">
      <w:pPr>
        <w:spacing w:after="160" w:line="259" w:lineRule="auto"/>
        <w:ind w:left="708"/>
      </w:pPr>
      <w:r>
        <w:t xml:space="preserve"> </w:t>
      </w:r>
    </w:p>
    <w:p w14:paraId="77CB206B" w14:textId="77777777" w:rsidR="009454EF" w:rsidRDefault="009454EF">
      <w:pPr>
        <w:spacing w:after="160" w:line="259" w:lineRule="auto"/>
        <w:ind w:left="708"/>
      </w:pPr>
      <w:r>
        <w:t xml:space="preserve"> </w:t>
      </w:r>
    </w:p>
    <w:p w14:paraId="46A797EA" w14:textId="77777777" w:rsidR="009454EF" w:rsidRDefault="009454EF">
      <w:pPr>
        <w:spacing w:after="160" w:line="259" w:lineRule="auto"/>
        <w:ind w:left="708"/>
      </w:pPr>
      <w:r>
        <w:t xml:space="preserve"> </w:t>
      </w:r>
    </w:p>
    <w:p w14:paraId="267BCD57" w14:textId="77777777" w:rsidR="009454EF" w:rsidRDefault="009454EF">
      <w:pPr>
        <w:spacing w:after="158" w:line="259" w:lineRule="auto"/>
        <w:ind w:left="708"/>
      </w:pPr>
      <w:r>
        <w:t xml:space="preserve"> </w:t>
      </w:r>
    </w:p>
    <w:p w14:paraId="76815A91" w14:textId="77777777" w:rsidR="009454EF" w:rsidRDefault="009454EF">
      <w:pPr>
        <w:spacing w:after="160" w:line="259" w:lineRule="auto"/>
        <w:ind w:left="708"/>
      </w:pPr>
      <w:r>
        <w:t xml:space="preserve"> </w:t>
      </w:r>
    </w:p>
    <w:p w14:paraId="5B7C7651" w14:textId="77777777" w:rsidR="009454EF" w:rsidRDefault="009454EF">
      <w:pPr>
        <w:spacing w:after="235" w:line="259" w:lineRule="auto"/>
        <w:ind w:left="708"/>
      </w:pPr>
      <w:r>
        <w:t xml:space="preserve"> </w:t>
      </w:r>
    </w:p>
    <w:p w14:paraId="2A56B788" w14:textId="1679A69E" w:rsidR="009454EF" w:rsidRDefault="009454EF" w:rsidP="00503E45">
      <w:pPr>
        <w:spacing w:after="45" w:line="259" w:lineRule="auto"/>
        <w:ind w:right="5"/>
        <w:jc w:val="right"/>
      </w:pPr>
      <w:r>
        <w:rPr>
          <w:rFonts w:ascii="Arial" w:eastAsia="Arial" w:hAnsi="Arial" w:cs="Arial"/>
          <w:b/>
          <w:sz w:val="32"/>
        </w:rPr>
        <w:t xml:space="preserve">September 2022 </w:t>
      </w:r>
    </w:p>
    <w:p w14:paraId="5BCBB4BF" w14:textId="77777777" w:rsidR="009454EF" w:rsidRDefault="009454EF">
      <w:pPr>
        <w:spacing w:after="44" w:line="259" w:lineRule="auto"/>
        <w:ind w:left="705"/>
        <w:jc w:val="center"/>
      </w:pPr>
      <w:r>
        <w:rPr>
          <w:rFonts w:cs="Calibri"/>
          <w:b/>
          <w:sz w:val="36"/>
          <w:u w:val="single" w:color="000000"/>
        </w:rPr>
        <w:lastRenderedPageBreak/>
        <w:t>Definitions</w:t>
      </w:r>
      <w:r>
        <w:rPr>
          <w:rFonts w:cs="Calibri"/>
          <w:sz w:val="36"/>
        </w:rPr>
        <w:t xml:space="preserve"> </w:t>
      </w:r>
    </w:p>
    <w:p w14:paraId="30E1E325" w14:textId="77777777" w:rsidR="009454EF" w:rsidRDefault="009454EF">
      <w:pPr>
        <w:spacing w:after="9" w:line="267" w:lineRule="auto"/>
        <w:ind w:left="703"/>
      </w:pPr>
      <w:r>
        <w:rPr>
          <w:rFonts w:cs="Calibri"/>
          <w:b/>
        </w:rPr>
        <w:t xml:space="preserve">“Confidential Information” </w:t>
      </w:r>
      <w:r>
        <w:rPr>
          <w:rFonts w:cs="Calibri"/>
        </w:rPr>
        <w:t xml:space="preserve">- all information, whether written or oral (however recorded), </w:t>
      </w:r>
    </w:p>
    <w:p w14:paraId="64D3E186" w14:textId="77777777" w:rsidR="009454EF" w:rsidRDefault="009454EF">
      <w:pPr>
        <w:spacing w:after="151" w:line="267" w:lineRule="auto"/>
        <w:ind w:left="1438"/>
      </w:pPr>
      <w:r>
        <w:t xml:space="preserve"> </w:t>
      </w:r>
      <w:r>
        <w:tab/>
        <w:t xml:space="preserve"> </w:t>
      </w:r>
      <w:r>
        <w:tab/>
        <w:t xml:space="preserve"> </w:t>
      </w:r>
      <w:r>
        <w:tab/>
      </w:r>
      <w:r>
        <w:rPr>
          <w:rFonts w:cs="Calibri"/>
        </w:rPr>
        <w:t xml:space="preserve">provided by the disclosing Party to the receiving Party and </w:t>
      </w:r>
      <w:r>
        <w:t xml:space="preserve">  </w:t>
      </w:r>
      <w:r>
        <w:tab/>
        <w:t xml:space="preserve"> </w:t>
      </w:r>
      <w:r>
        <w:tab/>
        <w:t xml:space="preserve"> </w:t>
      </w:r>
      <w:r>
        <w:tab/>
      </w:r>
      <w:r>
        <w:rPr>
          <w:rFonts w:cs="Calibri"/>
        </w:rPr>
        <w:t>which (</w:t>
      </w:r>
      <w:proofErr w:type="spellStart"/>
      <w:r>
        <w:rPr>
          <w:rFonts w:cs="Calibri"/>
        </w:rPr>
        <w:t>i</w:t>
      </w:r>
      <w:proofErr w:type="spellEnd"/>
      <w:r>
        <w:rPr>
          <w:rFonts w:cs="Calibri"/>
        </w:rPr>
        <w:t>) is known by the receiving Party to be confidential; (ii</w:t>
      </w:r>
      <w:proofErr w:type="gramStart"/>
      <w:r>
        <w:rPr>
          <w:rFonts w:cs="Calibri"/>
        </w:rPr>
        <w:t xml:space="preserve">) </w:t>
      </w:r>
      <w:r>
        <w:t xml:space="preserve"> </w:t>
      </w:r>
      <w:r>
        <w:tab/>
      </w:r>
      <w:proofErr w:type="gramEnd"/>
      <w:r>
        <w:t xml:space="preserve"> </w:t>
      </w:r>
      <w:r>
        <w:tab/>
        <w:t xml:space="preserve"> </w:t>
      </w:r>
      <w:r>
        <w:tab/>
      </w:r>
      <w:r>
        <w:rPr>
          <w:rFonts w:cs="Calibri"/>
        </w:rPr>
        <w:t xml:space="preserve">is marked as or stated to be confidential; or (iii) ought </w:t>
      </w:r>
      <w:r>
        <w:t xml:space="preserve">  </w:t>
      </w:r>
      <w:r>
        <w:tab/>
        <w:t xml:space="preserve"> </w:t>
      </w:r>
      <w:r>
        <w:tab/>
        <w:t xml:space="preserve"> </w:t>
      </w:r>
      <w:r>
        <w:tab/>
      </w:r>
      <w:r>
        <w:rPr>
          <w:rFonts w:cs="Calibri"/>
        </w:rPr>
        <w:t xml:space="preserve">reasonably to be considered by the receiving Party to be </w:t>
      </w:r>
      <w:r>
        <w:t xml:space="preserve">  </w:t>
      </w:r>
      <w:r>
        <w:tab/>
        <w:t xml:space="preserve"> </w:t>
      </w:r>
      <w:r>
        <w:tab/>
        <w:t xml:space="preserve"> </w:t>
      </w:r>
      <w:r>
        <w:tab/>
      </w:r>
      <w:r>
        <w:rPr>
          <w:rFonts w:cs="Calibri"/>
        </w:rPr>
        <w:t xml:space="preserve">confidential; </w:t>
      </w:r>
    </w:p>
    <w:p w14:paraId="2F7FBEC7" w14:textId="77777777" w:rsidR="009454EF" w:rsidRDefault="009454EF">
      <w:pPr>
        <w:spacing w:after="151" w:line="267" w:lineRule="auto"/>
        <w:ind w:left="1413" w:hanging="720"/>
      </w:pPr>
      <w:r>
        <w:rPr>
          <w:rFonts w:cs="Calibri"/>
          <w:b/>
        </w:rPr>
        <w:t xml:space="preserve">“Economic Operator” </w:t>
      </w:r>
      <w:r>
        <w:rPr>
          <w:rFonts w:cs="Calibri"/>
        </w:rPr>
        <w:t xml:space="preserve">- means any person or public entity or group of such persons and </w:t>
      </w:r>
      <w:r>
        <w:t xml:space="preserve">  </w:t>
      </w:r>
      <w:r>
        <w:tab/>
        <w:t xml:space="preserve"> </w:t>
      </w:r>
      <w:r>
        <w:tab/>
      </w:r>
      <w:r>
        <w:rPr>
          <w:rFonts w:cs="Calibri"/>
        </w:rPr>
        <w:t xml:space="preserve">entities, including any temporary association of undertakings, </w:t>
      </w:r>
      <w:proofErr w:type="gramStart"/>
      <w:r>
        <w:rPr>
          <w:rFonts w:cs="Calibri"/>
        </w:rPr>
        <w:t xml:space="preserve">which </w:t>
      </w:r>
      <w:r>
        <w:t xml:space="preserve"> </w:t>
      </w:r>
      <w:r>
        <w:tab/>
      </w:r>
      <w:proofErr w:type="gramEnd"/>
      <w:r>
        <w:t xml:space="preserve"> </w:t>
      </w:r>
      <w:r>
        <w:tab/>
      </w:r>
      <w:r>
        <w:rPr>
          <w:rFonts w:cs="Calibri"/>
        </w:rPr>
        <w:t xml:space="preserve">offers the execution of works or a work, the supply of products or the </w:t>
      </w:r>
      <w:r>
        <w:t xml:space="preserve"> </w:t>
      </w:r>
      <w:r>
        <w:tab/>
        <w:t xml:space="preserve"> </w:t>
      </w:r>
      <w:r>
        <w:tab/>
      </w:r>
      <w:r>
        <w:rPr>
          <w:rFonts w:cs="Calibri"/>
        </w:rPr>
        <w:t xml:space="preserve">provision of services on the market.   </w:t>
      </w:r>
    </w:p>
    <w:p w14:paraId="52C69DC0" w14:textId="77777777" w:rsidR="009454EF" w:rsidRDefault="009454EF">
      <w:pPr>
        <w:spacing w:after="9" w:line="267" w:lineRule="auto"/>
        <w:ind w:left="703"/>
      </w:pPr>
      <w:r>
        <w:rPr>
          <w:rFonts w:cs="Calibri"/>
          <w:b/>
        </w:rPr>
        <w:t>“Public Contracts Regulations”</w:t>
      </w:r>
      <w:r>
        <w:rPr>
          <w:rFonts w:cs="Calibri"/>
        </w:rPr>
        <w:t xml:space="preserve"> - means the Regulations laid down in statute in the Public </w:t>
      </w:r>
    </w:p>
    <w:p w14:paraId="289EB734" w14:textId="77777777" w:rsidR="009454EF" w:rsidRDefault="009454EF">
      <w:pPr>
        <w:spacing w:after="151" w:line="267" w:lineRule="auto"/>
        <w:ind w:left="1438"/>
      </w:pPr>
      <w:r>
        <w:t xml:space="preserve"> </w:t>
      </w:r>
      <w:r>
        <w:tab/>
        <w:t xml:space="preserve"> </w:t>
      </w:r>
      <w:r>
        <w:tab/>
        <w:t xml:space="preserve"> </w:t>
      </w:r>
      <w:r>
        <w:tab/>
        <w:t xml:space="preserve"> </w:t>
      </w:r>
      <w:r>
        <w:tab/>
      </w:r>
      <w:r>
        <w:rPr>
          <w:rFonts w:cs="Calibri"/>
        </w:rPr>
        <w:t xml:space="preserve">Contracts Regulations 2015 and any subsequent </w:t>
      </w:r>
      <w:r>
        <w:t xml:space="preserve">  </w:t>
      </w:r>
      <w:r>
        <w:tab/>
        <w:t xml:space="preserve"> </w:t>
      </w:r>
      <w:r>
        <w:tab/>
        <w:t xml:space="preserve"> </w:t>
      </w:r>
      <w:r>
        <w:tab/>
        <w:t xml:space="preserve"> </w:t>
      </w:r>
      <w:r>
        <w:tab/>
      </w:r>
      <w:r>
        <w:rPr>
          <w:rFonts w:cs="Calibri"/>
        </w:rPr>
        <w:t xml:space="preserve">amendments.   </w:t>
      </w:r>
    </w:p>
    <w:p w14:paraId="6BE7014E" w14:textId="77777777" w:rsidR="009454EF" w:rsidRDefault="009454EF">
      <w:pPr>
        <w:tabs>
          <w:tab w:val="center" w:pos="1622"/>
          <w:tab w:val="center" w:pos="4201"/>
        </w:tabs>
        <w:spacing w:after="151" w:line="267" w:lineRule="auto"/>
      </w:pPr>
      <w:r>
        <w:rPr>
          <w:rFonts w:cs="Calibri"/>
        </w:rPr>
        <w:tab/>
      </w:r>
      <w:r>
        <w:rPr>
          <w:rFonts w:cs="Calibri"/>
          <w:b/>
        </w:rPr>
        <w:t xml:space="preserve">“Sub-contractor" </w:t>
      </w:r>
      <w:proofErr w:type="gramStart"/>
      <w:r>
        <w:rPr>
          <w:rFonts w:cs="Calibri"/>
        </w:rPr>
        <w:t xml:space="preserve">- </w:t>
      </w:r>
      <w:r>
        <w:t xml:space="preserve"> </w:t>
      </w:r>
      <w:r>
        <w:tab/>
      </w:r>
      <w:proofErr w:type="gramEnd"/>
      <w:r>
        <w:rPr>
          <w:rFonts w:cs="Calibri"/>
        </w:rPr>
        <w:t xml:space="preserve">any third party with whom: </w:t>
      </w:r>
    </w:p>
    <w:p w14:paraId="182A0F1D" w14:textId="77777777" w:rsidR="009454EF" w:rsidRDefault="009454EF" w:rsidP="009454EF">
      <w:pPr>
        <w:numPr>
          <w:ilvl w:val="0"/>
          <w:numId w:val="4"/>
        </w:numPr>
        <w:spacing w:after="151" w:line="267" w:lineRule="auto"/>
        <w:ind w:left="1990" w:hanging="326"/>
      </w:pPr>
      <w:r>
        <w:rPr>
          <w:rFonts w:cs="Calibri"/>
        </w:rPr>
        <w:t xml:space="preserve">the Supplier </w:t>
      </w:r>
      <w:proofErr w:type="gramStart"/>
      <w:r>
        <w:rPr>
          <w:rFonts w:cs="Calibri"/>
        </w:rPr>
        <w:t>enters into</w:t>
      </w:r>
      <w:proofErr w:type="gramEnd"/>
      <w:r>
        <w:rPr>
          <w:rFonts w:cs="Calibri"/>
        </w:rPr>
        <w:t xml:space="preserve"> a Subcontract; or  </w:t>
      </w:r>
    </w:p>
    <w:p w14:paraId="20929617" w14:textId="77777777" w:rsidR="009454EF" w:rsidRDefault="009454EF" w:rsidP="009454EF">
      <w:pPr>
        <w:numPr>
          <w:ilvl w:val="0"/>
          <w:numId w:val="4"/>
        </w:numPr>
        <w:spacing w:after="17" w:line="259" w:lineRule="auto"/>
        <w:ind w:left="1990" w:hanging="326"/>
      </w:pPr>
      <w:r>
        <w:rPr>
          <w:rFonts w:cs="Calibri"/>
        </w:rPr>
        <w:t xml:space="preserve">a third party under (a) above </w:t>
      </w:r>
      <w:proofErr w:type="gramStart"/>
      <w:r>
        <w:rPr>
          <w:rFonts w:cs="Calibri"/>
        </w:rPr>
        <w:t>enters into</w:t>
      </w:r>
      <w:proofErr w:type="gramEnd"/>
      <w:r>
        <w:rPr>
          <w:rFonts w:cs="Calibri"/>
        </w:rPr>
        <w:t xml:space="preserve"> a </w:t>
      </w:r>
      <w:r>
        <w:t xml:space="preserve"> </w:t>
      </w:r>
    </w:p>
    <w:p w14:paraId="3294BFEE" w14:textId="77777777" w:rsidR="009454EF" w:rsidRDefault="009454EF">
      <w:pPr>
        <w:tabs>
          <w:tab w:val="center" w:pos="3588"/>
          <w:tab w:val="center" w:pos="4928"/>
        </w:tabs>
        <w:spacing w:after="151" w:line="267" w:lineRule="auto"/>
      </w:pPr>
      <w:r>
        <w:rPr>
          <w:rFonts w:cs="Calibri"/>
        </w:rPr>
        <w:tab/>
      </w:r>
      <w:r>
        <w:t xml:space="preserve"> </w:t>
      </w:r>
      <w:r>
        <w:tab/>
      </w:r>
      <w:r>
        <w:rPr>
          <w:rFonts w:cs="Calibri"/>
        </w:rPr>
        <w:t xml:space="preserve">Subcontract, </w:t>
      </w:r>
    </w:p>
    <w:p w14:paraId="0F93E38F" w14:textId="77777777" w:rsidR="009454EF" w:rsidRDefault="009454EF">
      <w:pPr>
        <w:spacing w:after="151" w:line="267" w:lineRule="auto"/>
        <w:ind w:left="3598"/>
      </w:pPr>
      <w:r>
        <w:rPr>
          <w:rFonts w:cs="Calibri"/>
        </w:rPr>
        <w:t xml:space="preserve">or the servants or agents of that third </w:t>
      </w:r>
      <w:proofErr w:type="gramStart"/>
      <w:r>
        <w:rPr>
          <w:rFonts w:cs="Calibri"/>
        </w:rPr>
        <w:t>party;</w:t>
      </w:r>
      <w:proofErr w:type="gramEnd"/>
      <w:r>
        <w:rPr>
          <w:rFonts w:cs="Calibri"/>
        </w:rPr>
        <w:t xml:space="preserve"> </w:t>
      </w:r>
    </w:p>
    <w:p w14:paraId="378D8D1D" w14:textId="77777777" w:rsidR="009454EF" w:rsidRDefault="009454EF">
      <w:pPr>
        <w:tabs>
          <w:tab w:val="center" w:pos="1290"/>
          <w:tab w:val="center" w:pos="4596"/>
        </w:tabs>
        <w:spacing w:after="151" w:line="267" w:lineRule="auto"/>
      </w:pPr>
      <w:r>
        <w:rPr>
          <w:rFonts w:cs="Calibri"/>
        </w:rPr>
        <w:tab/>
      </w:r>
      <w:r>
        <w:rPr>
          <w:rFonts w:cs="Calibri"/>
          <w:b/>
        </w:rPr>
        <w:t xml:space="preserve">“Supplier” </w:t>
      </w:r>
      <w:r>
        <w:rPr>
          <w:rFonts w:cs="Calibri"/>
        </w:rPr>
        <w:t>-</w:t>
      </w:r>
      <w:r>
        <w:t xml:space="preserve"> </w:t>
      </w:r>
      <w:r>
        <w:tab/>
      </w:r>
      <w:r>
        <w:rPr>
          <w:rFonts w:cs="Calibri"/>
        </w:rPr>
        <w:t xml:space="preserve"> has the meaning given in the Form of </w:t>
      </w:r>
      <w:proofErr w:type="gramStart"/>
      <w:r>
        <w:rPr>
          <w:rFonts w:cs="Calibri"/>
        </w:rPr>
        <w:t>Agreement;</w:t>
      </w:r>
      <w:proofErr w:type="gramEnd"/>
      <w:r>
        <w:rPr>
          <w:rFonts w:cs="Calibri"/>
        </w:rPr>
        <w:t xml:space="preserve"> </w:t>
      </w:r>
    </w:p>
    <w:p w14:paraId="4C6B52CC" w14:textId="77777777" w:rsidR="009454EF" w:rsidRDefault="009454EF">
      <w:pPr>
        <w:spacing w:after="151" w:line="267" w:lineRule="auto"/>
        <w:ind w:left="1413" w:hanging="720"/>
      </w:pPr>
      <w:r>
        <w:rPr>
          <w:rFonts w:cs="Calibri"/>
          <w:b/>
        </w:rPr>
        <w:t xml:space="preserve">“Tender” </w:t>
      </w:r>
      <w:r>
        <w:rPr>
          <w:rFonts w:cs="Calibri"/>
        </w:rPr>
        <w:t>-</w:t>
      </w:r>
      <w:r>
        <w:t xml:space="preserve"> </w:t>
      </w:r>
      <w:r>
        <w:tab/>
      </w:r>
      <w:r>
        <w:rPr>
          <w:rFonts w:cs="Calibri"/>
        </w:rPr>
        <w:t xml:space="preserve"> means the formal offer or proposal submitted by a Tenderer in response </w:t>
      </w:r>
      <w:proofErr w:type="gramStart"/>
      <w:r>
        <w:rPr>
          <w:rFonts w:cs="Calibri"/>
        </w:rPr>
        <w:t xml:space="preserve">to </w:t>
      </w:r>
      <w:r>
        <w:t xml:space="preserve"> </w:t>
      </w:r>
      <w:r>
        <w:tab/>
      </w:r>
      <w:proofErr w:type="gramEnd"/>
      <w:r>
        <w:rPr>
          <w:rFonts w:cs="Calibri"/>
        </w:rPr>
        <w:t xml:space="preserve">the Client’s invitation to tender.   </w:t>
      </w:r>
    </w:p>
    <w:p w14:paraId="4C543DF7" w14:textId="77777777" w:rsidR="009454EF" w:rsidRDefault="009454EF">
      <w:pPr>
        <w:spacing w:after="151" w:line="267" w:lineRule="auto"/>
        <w:ind w:left="703"/>
      </w:pPr>
      <w:r>
        <w:rPr>
          <w:rFonts w:cs="Calibri"/>
          <w:b/>
        </w:rPr>
        <w:t>“Tenderer”</w:t>
      </w:r>
      <w:r>
        <w:rPr>
          <w:rFonts w:cs="Calibri"/>
        </w:rPr>
        <w:t xml:space="preserve"> </w:t>
      </w:r>
      <w:proofErr w:type="gramStart"/>
      <w:r>
        <w:rPr>
          <w:rFonts w:cs="Calibri"/>
        </w:rPr>
        <w:t xml:space="preserve">- </w:t>
      </w:r>
      <w:r>
        <w:t xml:space="preserve"> </w:t>
      </w:r>
      <w:r>
        <w:rPr>
          <w:rFonts w:cs="Calibri"/>
        </w:rPr>
        <w:t>means</w:t>
      </w:r>
      <w:proofErr w:type="gramEnd"/>
      <w:r>
        <w:rPr>
          <w:rFonts w:cs="Calibri"/>
        </w:rPr>
        <w:t xml:space="preserve"> an Economic Operator that has submitted a Tender.  </w:t>
      </w:r>
    </w:p>
    <w:p w14:paraId="5D8BDE1C" w14:textId="421B8E12" w:rsidR="009454EF" w:rsidRDefault="009454EF" w:rsidP="00503E45">
      <w:pPr>
        <w:spacing w:after="156" w:line="259" w:lineRule="auto"/>
        <w:ind w:left="708"/>
      </w:pPr>
      <w:r>
        <w:rPr>
          <w:rFonts w:cs="Calibri"/>
        </w:rPr>
        <w:t xml:space="preserve"> </w:t>
      </w:r>
    </w:p>
    <w:p w14:paraId="36262D65" w14:textId="692E1B89" w:rsidR="00503E45" w:rsidRDefault="00503E45" w:rsidP="00503E45">
      <w:pPr>
        <w:spacing w:after="156" w:line="259" w:lineRule="auto"/>
        <w:ind w:left="708"/>
      </w:pPr>
    </w:p>
    <w:p w14:paraId="28E35254" w14:textId="33DA2826" w:rsidR="00503E45" w:rsidRDefault="00503E45" w:rsidP="00503E45">
      <w:pPr>
        <w:spacing w:after="156" w:line="259" w:lineRule="auto"/>
        <w:ind w:left="708"/>
      </w:pPr>
    </w:p>
    <w:p w14:paraId="53430628" w14:textId="4D5009E4" w:rsidR="00503E45" w:rsidRDefault="00503E45" w:rsidP="00503E45">
      <w:pPr>
        <w:spacing w:after="156" w:line="259" w:lineRule="auto"/>
        <w:ind w:left="708"/>
      </w:pPr>
    </w:p>
    <w:p w14:paraId="1298561C" w14:textId="792C2152" w:rsidR="00503E45" w:rsidRDefault="00503E45" w:rsidP="00503E45">
      <w:pPr>
        <w:spacing w:after="156" w:line="259" w:lineRule="auto"/>
        <w:ind w:left="708"/>
      </w:pPr>
    </w:p>
    <w:p w14:paraId="2D074CFD" w14:textId="0C2145AD" w:rsidR="00503E45" w:rsidRDefault="00503E45" w:rsidP="00503E45">
      <w:pPr>
        <w:spacing w:after="156" w:line="259" w:lineRule="auto"/>
        <w:ind w:left="708"/>
      </w:pPr>
    </w:p>
    <w:p w14:paraId="737AC76D" w14:textId="484188AC" w:rsidR="00503E45" w:rsidRDefault="00503E45" w:rsidP="00503E45">
      <w:pPr>
        <w:spacing w:after="156" w:line="259" w:lineRule="auto"/>
        <w:ind w:left="708"/>
      </w:pPr>
    </w:p>
    <w:p w14:paraId="152513DE" w14:textId="77777777" w:rsidR="00503E45" w:rsidRDefault="00503E45" w:rsidP="00503E45">
      <w:pPr>
        <w:spacing w:after="156" w:line="259" w:lineRule="auto"/>
        <w:ind w:left="708"/>
      </w:pPr>
    </w:p>
    <w:p w14:paraId="59D4C69D" w14:textId="77777777" w:rsidR="009454EF" w:rsidRDefault="009454EF">
      <w:pPr>
        <w:spacing w:after="0" w:line="259" w:lineRule="auto"/>
        <w:ind w:left="708"/>
      </w:pPr>
      <w:r>
        <w:rPr>
          <w:rFonts w:ascii="Arial" w:eastAsia="Arial" w:hAnsi="Arial" w:cs="Arial"/>
          <w:b/>
        </w:rPr>
        <w:t xml:space="preserve"> </w:t>
      </w:r>
    </w:p>
    <w:p w14:paraId="52D46B32" w14:textId="77777777" w:rsidR="009454EF" w:rsidRDefault="009454EF">
      <w:pPr>
        <w:spacing w:after="316" w:line="259" w:lineRule="auto"/>
        <w:ind w:left="708"/>
      </w:pPr>
      <w:r>
        <w:rPr>
          <w:rFonts w:ascii="Arial" w:eastAsia="Arial" w:hAnsi="Arial" w:cs="Arial"/>
          <w:b/>
        </w:rPr>
        <w:t xml:space="preserve"> </w:t>
      </w:r>
    </w:p>
    <w:sdt>
      <w:sdtPr>
        <w:id w:val="-824740241"/>
        <w:docPartObj>
          <w:docPartGallery w:val="Table of Contents"/>
        </w:docPartObj>
      </w:sdtPr>
      <w:sdtContent>
        <w:p w14:paraId="3A21482A" w14:textId="77777777" w:rsidR="009454EF" w:rsidRDefault="009454EF">
          <w:pPr>
            <w:spacing w:after="0" w:line="259" w:lineRule="auto"/>
            <w:ind w:left="708"/>
          </w:pPr>
          <w:r>
            <w:rPr>
              <w:rFonts w:ascii="Arial" w:eastAsia="Arial" w:hAnsi="Arial" w:cs="Arial"/>
              <w:b/>
              <w:sz w:val="32"/>
            </w:rPr>
            <w:t xml:space="preserve">Contents </w:t>
          </w:r>
        </w:p>
        <w:p w14:paraId="29DA356C" w14:textId="77777777" w:rsidR="009454EF" w:rsidRDefault="009454EF">
          <w:pPr>
            <w:pStyle w:val="TOC1"/>
            <w:tabs>
              <w:tab w:val="right" w:leader="dot" w:pos="9737"/>
            </w:tabs>
          </w:pPr>
          <w:r>
            <w:fldChar w:fldCharType="begin"/>
          </w:r>
          <w:r>
            <w:instrText xml:space="preserve"> TOC \o "1-2" \h \z \u </w:instrText>
          </w:r>
          <w:r>
            <w:fldChar w:fldCharType="separate"/>
          </w:r>
          <w:hyperlink w:anchor="_Toc24998">
            <w:r>
              <w:t>Overview of Requirements</w:t>
            </w:r>
            <w:r>
              <w:tab/>
            </w:r>
            <w:r>
              <w:fldChar w:fldCharType="begin"/>
            </w:r>
            <w:r>
              <w:instrText>PAGEREF _Toc24998 \h</w:instrText>
            </w:r>
            <w:r>
              <w:fldChar w:fldCharType="separate"/>
            </w:r>
            <w:r>
              <w:t xml:space="preserve">4 </w:t>
            </w:r>
            <w:r>
              <w:fldChar w:fldCharType="end"/>
            </w:r>
          </w:hyperlink>
        </w:p>
        <w:p w14:paraId="3340329F" w14:textId="77777777" w:rsidR="009454EF" w:rsidRDefault="009454EF">
          <w:pPr>
            <w:pStyle w:val="TOC2"/>
            <w:tabs>
              <w:tab w:val="right" w:leader="dot" w:pos="9737"/>
            </w:tabs>
          </w:pPr>
          <w:hyperlink w:anchor="_Toc24999">
            <w:r>
              <w:t>1.</w:t>
            </w:r>
            <w:r>
              <w:rPr>
                <w:rFonts w:ascii="Calibri" w:eastAsia="Calibri" w:hAnsi="Calibri" w:cs="Calibri"/>
                <w:sz w:val="22"/>
              </w:rPr>
              <w:t xml:space="preserve">  </w:t>
            </w:r>
            <w:r>
              <w:t>Introduction</w:t>
            </w:r>
            <w:r>
              <w:tab/>
            </w:r>
            <w:r>
              <w:fldChar w:fldCharType="begin"/>
            </w:r>
            <w:r>
              <w:instrText>PAGEREF _Toc24999 \h</w:instrText>
            </w:r>
            <w:r>
              <w:fldChar w:fldCharType="separate"/>
            </w:r>
            <w:r>
              <w:t xml:space="preserve">4 </w:t>
            </w:r>
            <w:r>
              <w:fldChar w:fldCharType="end"/>
            </w:r>
          </w:hyperlink>
        </w:p>
        <w:p w14:paraId="40E2D50E" w14:textId="77777777" w:rsidR="009454EF" w:rsidRDefault="009454EF">
          <w:pPr>
            <w:pStyle w:val="TOC2"/>
            <w:tabs>
              <w:tab w:val="right" w:leader="dot" w:pos="9737"/>
            </w:tabs>
          </w:pPr>
          <w:hyperlink w:anchor="_Toc25000">
            <w:r>
              <w:t>2.</w:t>
            </w:r>
            <w:r>
              <w:rPr>
                <w:rFonts w:ascii="Calibri" w:eastAsia="Calibri" w:hAnsi="Calibri" w:cs="Calibri"/>
                <w:sz w:val="22"/>
              </w:rPr>
              <w:t xml:space="preserve">  </w:t>
            </w:r>
            <w:r>
              <w:t>Context</w:t>
            </w:r>
            <w:r>
              <w:tab/>
            </w:r>
            <w:r>
              <w:fldChar w:fldCharType="begin"/>
            </w:r>
            <w:r>
              <w:instrText>PAGEREF _Toc25000 \h</w:instrText>
            </w:r>
            <w:r>
              <w:fldChar w:fldCharType="separate"/>
            </w:r>
            <w:r>
              <w:t xml:space="preserve">4 </w:t>
            </w:r>
            <w:r>
              <w:fldChar w:fldCharType="end"/>
            </w:r>
          </w:hyperlink>
        </w:p>
        <w:p w14:paraId="59144503" w14:textId="77777777" w:rsidR="009454EF" w:rsidRDefault="009454EF">
          <w:pPr>
            <w:pStyle w:val="TOC2"/>
            <w:tabs>
              <w:tab w:val="right" w:leader="dot" w:pos="9737"/>
            </w:tabs>
          </w:pPr>
          <w:hyperlink w:anchor="_Toc25001">
            <w:r>
              <w:t>3.</w:t>
            </w:r>
            <w:r>
              <w:rPr>
                <w:rFonts w:ascii="Calibri" w:eastAsia="Calibri" w:hAnsi="Calibri" w:cs="Calibri"/>
                <w:sz w:val="22"/>
              </w:rPr>
              <w:t xml:space="preserve">  </w:t>
            </w:r>
            <w:r>
              <w:t>Research Aims &amp; Objectives</w:t>
            </w:r>
            <w:r>
              <w:tab/>
            </w:r>
            <w:r>
              <w:fldChar w:fldCharType="begin"/>
            </w:r>
            <w:r>
              <w:instrText>PAGEREF _Toc25001 \h</w:instrText>
            </w:r>
            <w:r>
              <w:fldChar w:fldCharType="separate"/>
            </w:r>
            <w:r>
              <w:t xml:space="preserve">6 </w:t>
            </w:r>
            <w:r>
              <w:fldChar w:fldCharType="end"/>
            </w:r>
          </w:hyperlink>
        </w:p>
        <w:p w14:paraId="79A87681" w14:textId="77777777" w:rsidR="009454EF" w:rsidRDefault="009454EF">
          <w:pPr>
            <w:pStyle w:val="TOC2"/>
            <w:tabs>
              <w:tab w:val="right" w:leader="dot" w:pos="9737"/>
            </w:tabs>
          </w:pPr>
          <w:hyperlink w:anchor="_Toc25002">
            <w:r>
              <w:t>4</w:t>
            </w:r>
            <w:r>
              <w:rPr>
                <w:rFonts w:ascii="Calibri" w:eastAsia="Calibri" w:hAnsi="Calibri" w:cs="Calibri"/>
                <w:sz w:val="22"/>
              </w:rPr>
              <w:t xml:space="preserve">  </w:t>
            </w:r>
            <w:r>
              <w:t>Methodology &amp; Scope</w:t>
            </w:r>
            <w:r>
              <w:tab/>
            </w:r>
            <w:r>
              <w:fldChar w:fldCharType="begin"/>
            </w:r>
            <w:r>
              <w:instrText>PAGEREF _Toc25002 \h</w:instrText>
            </w:r>
            <w:r>
              <w:fldChar w:fldCharType="separate"/>
            </w:r>
            <w:r>
              <w:t xml:space="preserve">7 </w:t>
            </w:r>
            <w:r>
              <w:fldChar w:fldCharType="end"/>
            </w:r>
          </w:hyperlink>
        </w:p>
        <w:p w14:paraId="4ED71AB7" w14:textId="77777777" w:rsidR="009454EF" w:rsidRDefault="009454EF">
          <w:pPr>
            <w:pStyle w:val="TOC2"/>
            <w:tabs>
              <w:tab w:val="right" w:leader="dot" w:pos="9737"/>
            </w:tabs>
          </w:pPr>
          <w:hyperlink w:anchor="_Toc25003">
            <w:r>
              <w:t>5</w:t>
            </w:r>
            <w:r>
              <w:rPr>
                <w:rFonts w:ascii="Calibri" w:eastAsia="Calibri" w:hAnsi="Calibri" w:cs="Calibri"/>
                <w:sz w:val="22"/>
              </w:rPr>
              <w:t xml:space="preserve">  </w:t>
            </w:r>
            <w:r>
              <w:t>Timetable</w:t>
            </w:r>
            <w:r>
              <w:tab/>
            </w:r>
            <w:r>
              <w:fldChar w:fldCharType="begin"/>
            </w:r>
            <w:r>
              <w:instrText>PAGEREF _Toc25003 \h</w:instrText>
            </w:r>
            <w:r>
              <w:fldChar w:fldCharType="separate"/>
            </w:r>
            <w:r>
              <w:t xml:space="preserve">9 </w:t>
            </w:r>
            <w:r>
              <w:fldChar w:fldCharType="end"/>
            </w:r>
          </w:hyperlink>
        </w:p>
        <w:p w14:paraId="2D28AF08" w14:textId="77777777" w:rsidR="009454EF" w:rsidRDefault="009454EF">
          <w:pPr>
            <w:pStyle w:val="TOC2"/>
            <w:tabs>
              <w:tab w:val="right" w:leader="dot" w:pos="9737"/>
            </w:tabs>
          </w:pPr>
          <w:hyperlink w:anchor="_Toc25004">
            <w:r>
              <w:t>6</w:t>
            </w:r>
            <w:r>
              <w:rPr>
                <w:rFonts w:ascii="Calibri" w:eastAsia="Calibri" w:hAnsi="Calibri" w:cs="Calibri"/>
                <w:sz w:val="22"/>
              </w:rPr>
              <w:t xml:space="preserve">  </w:t>
            </w:r>
            <w:r>
              <w:t>Length of Contract</w:t>
            </w:r>
            <w:r>
              <w:tab/>
            </w:r>
            <w:r>
              <w:fldChar w:fldCharType="begin"/>
            </w:r>
            <w:r>
              <w:instrText>PAGEREF _Toc25004 \h</w:instrText>
            </w:r>
            <w:r>
              <w:fldChar w:fldCharType="separate"/>
            </w:r>
            <w:r>
              <w:t xml:space="preserve">10 </w:t>
            </w:r>
            <w:r>
              <w:fldChar w:fldCharType="end"/>
            </w:r>
          </w:hyperlink>
        </w:p>
        <w:p w14:paraId="0CCF8380" w14:textId="77777777" w:rsidR="009454EF" w:rsidRDefault="009454EF">
          <w:pPr>
            <w:pStyle w:val="TOC2"/>
            <w:tabs>
              <w:tab w:val="right" w:leader="dot" w:pos="9737"/>
            </w:tabs>
          </w:pPr>
          <w:hyperlink w:anchor="_Toc25005">
            <w:r>
              <w:t>7</w:t>
            </w:r>
            <w:r>
              <w:rPr>
                <w:rFonts w:ascii="Calibri" w:eastAsia="Calibri" w:hAnsi="Calibri" w:cs="Calibri"/>
                <w:sz w:val="22"/>
              </w:rPr>
              <w:t xml:space="preserve">  </w:t>
            </w:r>
            <w:r>
              <w:t>Outputs</w:t>
            </w:r>
            <w:r>
              <w:tab/>
            </w:r>
            <w:r>
              <w:fldChar w:fldCharType="begin"/>
            </w:r>
            <w:r>
              <w:instrText>PAGEREF _Toc25005 \h</w:instrText>
            </w:r>
            <w:r>
              <w:fldChar w:fldCharType="separate"/>
            </w:r>
            <w:r>
              <w:t xml:space="preserve">10 </w:t>
            </w:r>
            <w:r>
              <w:fldChar w:fldCharType="end"/>
            </w:r>
          </w:hyperlink>
        </w:p>
        <w:p w14:paraId="0FF484D1" w14:textId="77777777" w:rsidR="009454EF" w:rsidRDefault="009454EF">
          <w:pPr>
            <w:pStyle w:val="TOC2"/>
            <w:tabs>
              <w:tab w:val="right" w:leader="dot" w:pos="9737"/>
            </w:tabs>
          </w:pPr>
          <w:hyperlink w:anchor="_Toc25006">
            <w:r>
              <w:t>8</w:t>
            </w:r>
            <w:r>
              <w:rPr>
                <w:rFonts w:ascii="Calibri" w:eastAsia="Calibri" w:hAnsi="Calibri" w:cs="Calibri"/>
                <w:sz w:val="22"/>
              </w:rPr>
              <w:t xml:space="preserve">  </w:t>
            </w:r>
            <w:r>
              <w:t>Quality and Risk Management</w:t>
            </w:r>
            <w:r>
              <w:tab/>
            </w:r>
            <w:r>
              <w:fldChar w:fldCharType="begin"/>
            </w:r>
            <w:r>
              <w:instrText>PAGEREF _Toc25006 \h</w:instrText>
            </w:r>
            <w:r>
              <w:fldChar w:fldCharType="separate"/>
            </w:r>
            <w:r>
              <w:t xml:space="preserve">11 </w:t>
            </w:r>
            <w:r>
              <w:fldChar w:fldCharType="end"/>
            </w:r>
          </w:hyperlink>
        </w:p>
        <w:p w14:paraId="32980C0F" w14:textId="77777777" w:rsidR="009454EF" w:rsidRDefault="009454EF">
          <w:pPr>
            <w:pStyle w:val="TOC2"/>
            <w:tabs>
              <w:tab w:val="right" w:leader="dot" w:pos="9737"/>
            </w:tabs>
          </w:pPr>
          <w:hyperlink w:anchor="_Toc25007">
            <w:r>
              <w:t>9</w:t>
            </w:r>
            <w:r>
              <w:rPr>
                <w:rFonts w:ascii="Calibri" w:eastAsia="Calibri" w:hAnsi="Calibri" w:cs="Calibri"/>
                <w:sz w:val="22"/>
              </w:rPr>
              <w:t xml:space="preserve">  </w:t>
            </w:r>
            <w:r>
              <w:t>Expertise and Capability</w:t>
            </w:r>
            <w:r>
              <w:tab/>
            </w:r>
            <w:r>
              <w:fldChar w:fldCharType="begin"/>
            </w:r>
            <w:r>
              <w:instrText>PAGEREF _Toc25007 \h</w:instrText>
            </w:r>
            <w:r>
              <w:fldChar w:fldCharType="separate"/>
            </w:r>
            <w:r>
              <w:t xml:space="preserve">11 </w:t>
            </w:r>
            <w:r>
              <w:fldChar w:fldCharType="end"/>
            </w:r>
          </w:hyperlink>
        </w:p>
        <w:p w14:paraId="0E1375E4" w14:textId="77777777" w:rsidR="009454EF" w:rsidRDefault="009454EF">
          <w:pPr>
            <w:pStyle w:val="TOC2"/>
            <w:tabs>
              <w:tab w:val="right" w:leader="dot" w:pos="9737"/>
            </w:tabs>
          </w:pPr>
          <w:hyperlink w:anchor="_Toc25008">
            <w:r>
              <w:t>10</w:t>
            </w:r>
            <w:r>
              <w:rPr>
                <w:rFonts w:ascii="Calibri" w:eastAsia="Calibri" w:hAnsi="Calibri" w:cs="Calibri"/>
                <w:sz w:val="22"/>
              </w:rPr>
              <w:t xml:space="preserve">  </w:t>
            </w:r>
            <w:r>
              <w:t>Project Management and Contract Administration</w:t>
            </w:r>
            <w:r>
              <w:tab/>
            </w:r>
            <w:r>
              <w:fldChar w:fldCharType="begin"/>
            </w:r>
            <w:r>
              <w:instrText>PAGEREF _Toc25008 \h</w:instrText>
            </w:r>
            <w:r>
              <w:fldChar w:fldCharType="separate"/>
            </w:r>
            <w:r>
              <w:t xml:space="preserve">12 </w:t>
            </w:r>
            <w:r>
              <w:fldChar w:fldCharType="end"/>
            </w:r>
          </w:hyperlink>
        </w:p>
        <w:p w14:paraId="1B9E6886" w14:textId="77777777" w:rsidR="009454EF" w:rsidRDefault="009454EF">
          <w:pPr>
            <w:pStyle w:val="TOC2"/>
            <w:tabs>
              <w:tab w:val="right" w:leader="dot" w:pos="9737"/>
            </w:tabs>
          </w:pPr>
          <w:hyperlink w:anchor="_Toc25009">
            <w:r>
              <w:t>11</w:t>
            </w:r>
            <w:r>
              <w:rPr>
                <w:rFonts w:ascii="Calibri" w:eastAsia="Calibri" w:hAnsi="Calibri" w:cs="Calibri"/>
                <w:sz w:val="22"/>
              </w:rPr>
              <w:t xml:space="preserve">  </w:t>
            </w:r>
            <w:r>
              <w:t>Queries on this research specification</w:t>
            </w:r>
            <w:r>
              <w:tab/>
            </w:r>
            <w:r>
              <w:fldChar w:fldCharType="begin"/>
            </w:r>
            <w:r>
              <w:instrText>PAGEREF _Toc25009 \h</w:instrText>
            </w:r>
            <w:r>
              <w:fldChar w:fldCharType="separate"/>
            </w:r>
            <w:r>
              <w:t xml:space="preserve">13 </w:t>
            </w:r>
            <w:r>
              <w:fldChar w:fldCharType="end"/>
            </w:r>
          </w:hyperlink>
        </w:p>
        <w:p w14:paraId="271C951A" w14:textId="77777777" w:rsidR="009454EF" w:rsidRDefault="009454EF">
          <w:pPr>
            <w:pStyle w:val="TOC1"/>
            <w:tabs>
              <w:tab w:val="right" w:leader="dot" w:pos="9737"/>
            </w:tabs>
          </w:pPr>
          <w:hyperlink w:anchor="_Toc25010">
            <w:r>
              <w:t>Submission of Tenders</w:t>
            </w:r>
            <w:r>
              <w:tab/>
            </w:r>
            <w:r>
              <w:fldChar w:fldCharType="begin"/>
            </w:r>
            <w:r>
              <w:instrText>PAGEREF _Toc25010 \h</w:instrText>
            </w:r>
            <w:r>
              <w:fldChar w:fldCharType="separate"/>
            </w:r>
            <w:r>
              <w:t xml:space="preserve">13 </w:t>
            </w:r>
            <w:r>
              <w:fldChar w:fldCharType="end"/>
            </w:r>
          </w:hyperlink>
        </w:p>
        <w:p w14:paraId="0E90D7AC" w14:textId="77777777" w:rsidR="009454EF" w:rsidRDefault="009454EF">
          <w:pPr>
            <w:pStyle w:val="TOC2"/>
            <w:tabs>
              <w:tab w:val="right" w:leader="dot" w:pos="9737"/>
            </w:tabs>
          </w:pPr>
          <w:hyperlink w:anchor="_Toc25011">
            <w:r>
              <w:t>12</w:t>
            </w:r>
            <w:r>
              <w:rPr>
                <w:rFonts w:ascii="Calibri" w:eastAsia="Calibri" w:hAnsi="Calibri" w:cs="Calibri"/>
                <w:sz w:val="22"/>
              </w:rPr>
              <w:t xml:space="preserve">  </w:t>
            </w:r>
            <w:r>
              <w:t>Information on how and when to return tenders</w:t>
            </w:r>
            <w:r>
              <w:tab/>
            </w:r>
            <w:r>
              <w:fldChar w:fldCharType="begin"/>
            </w:r>
            <w:r>
              <w:instrText>PAGEREF _Toc25011 \h</w:instrText>
            </w:r>
            <w:r>
              <w:fldChar w:fldCharType="separate"/>
            </w:r>
            <w:r>
              <w:t xml:space="preserve">13 </w:t>
            </w:r>
            <w:r>
              <w:fldChar w:fldCharType="end"/>
            </w:r>
          </w:hyperlink>
        </w:p>
        <w:p w14:paraId="65AE9110" w14:textId="77777777" w:rsidR="009454EF" w:rsidRDefault="009454EF">
          <w:pPr>
            <w:pStyle w:val="TOC2"/>
            <w:tabs>
              <w:tab w:val="right" w:leader="dot" w:pos="9737"/>
            </w:tabs>
          </w:pPr>
          <w:hyperlink w:anchor="_Toc25012">
            <w:r>
              <w:t>13</w:t>
            </w:r>
            <w:r>
              <w:rPr>
                <w:rFonts w:ascii="Calibri" w:eastAsia="Calibri" w:hAnsi="Calibri" w:cs="Calibri"/>
                <w:sz w:val="22"/>
              </w:rPr>
              <w:t xml:space="preserve">  </w:t>
            </w:r>
            <w:r>
              <w:t>Summary of requirements</w:t>
            </w:r>
            <w:r>
              <w:tab/>
            </w:r>
            <w:r>
              <w:fldChar w:fldCharType="begin"/>
            </w:r>
            <w:r>
              <w:instrText>PAGEREF _Toc25012 \h</w:instrText>
            </w:r>
            <w:r>
              <w:fldChar w:fldCharType="separate"/>
            </w:r>
            <w:r>
              <w:t xml:space="preserve">14 </w:t>
            </w:r>
            <w:r>
              <w:fldChar w:fldCharType="end"/>
            </w:r>
          </w:hyperlink>
        </w:p>
        <w:p w14:paraId="74FFF9C3" w14:textId="77777777" w:rsidR="009454EF" w:rsidRDefault="009454EF">
          <w:pPr>
            <w:pStyle w:val="TOC2"/>
            <w:tabs>
              <w:tab w:val="right" w:leader="dot" w:pos="9737"/>
            </w:tabs>
          </w:pPr>
          <w:hyperlink w:anchor="_Toc25013">
            <w:r>
              <w:t>14</w:t>
            </w:r>
            <w:r>
              <w:rPr>
                <w:rFonts w:ascii="Calibri" w:eastAsia="Calibri" w:hAnsi="Calibri" w:cs="Calibri"/>
                <w:sz w:val="22"/>
              </w:rPr>
              <w:t xml:space="preserve">  </w:t>
            </w:r>
            <w:r>
              <w:t>Alternative Bids</w:t>
            </w:r>
            <w:r>
              <w:tab/>
            </w:r>
            <w:r>
              <w:fldChar w:fldCharType="begin"/>
            </w:r>
            <w:r>
              <w:instrText>PAGEREF _Toc25013 \h</w:instrText>
            </w:r>
            <w:r>
              <w:fldChar w:fldCharType="separate"/>
            </w:r>
            <w:r>
              <w:t xml:space="preserve">15 </w:t>
            </w:r>
            <w:r>
              <w:fldChar w:fldCharType="end"/>
            </w:r>
          </w:hyperlink>
        </w:p>
        <w:p w14:paraId="1B1D9DB6" w14:textId="77777777" w:rsidR="009454EF" w:rsidRDefault="009454EF">
          <w:pPr>
            <w:pStyle w:val="TOC1"/>
            <w:tabs>
              <w:tab w:val="right" w:leader="dot" w:pos="9737"/>
            </w:tabs>
          </w:pPr>
          <w:hyperlink w:anchor="_Toc25014">
            <w:r>
              <w:t>Evaluation Criteria</w:t>
            </w:r>
            <w:r>
              <w:tab/>
            </w:r>
            <w:r>
              <w:fldChar w:fldCharType="begin"/>
            </w:r>
            <w:r>
              <w:instrText>PAGEREF _Toc25014 \h</w:instrText>
            </w:r>
            <w:r>
              <w:fldChar w:fldCharType="separate"/>
            </w:r>
            <w:r>
              <w:t xml:space="preserve">15 </w:t>
            </w:r>
            <w:r>
              <w:fldChar w:fldCharType="end"/>
            </w:r>
          </w:hyperlink>
        </w:p>
        <w:p w14:paraId="5A3809EF" w14:textId="77777777" w:rsidR="009454EF" w:rsidRDefault="009454EF">
          <w:pPr>
            <w:pStyle w:val="TOC2"/>
            <w:tabs>
              <w:tab w:val="right" w:leader="dot" w:pos="9737"/>
            </w:tabs>
          </w:pPr>
          <w:hyperlink w:anchor="_Toc25015">
            <w:r>
              <w:t>15</w:t>
            </w:r>
            <w:r>
              <w:rPr>
                <w:rFonts w:ascii="Calibri" w:eastAsia="Calibri" w:hAnsi="Calibri" w:cs="Calibri"/>
                <w:sz w:val="22"/>
              </w:rPr>
              <w:t xml:space="preserve">  </w:t>
            </w:r>
            <w:r>
              <w:t>Tender Evaluation approach</w:t>
            </w:r>
            <w:r>
              <w:tab/>
            </w:r>
            <w:r>
              <w:fldChar w:fldCharType="begin"/>
            </w:r>
            <w:r>
              <w:instrText>PAGEREF _Toc25015 \h</w:instrText>
            </w:r>
            <w:r>
              <w:fldChar w:fldCharType="separate"/>
            </w:r>
            <w:r>
              <w:t xml:space="preserve">15 </w:t>
            </w:r>
            <w:r>
              <w:fldChar w:fldCharType="end"/>
            </w:r>
          </w:hyperlink>
        </w:p>
        <w:p w14:paraId="32E20638" w14:textId="77777777" w:rsidR="009454EF" w:rsidRDefault="009454EF">
          <w:pPr>
            <w:pStyle w:val="TOC2"/>
            <w:tabs>
              <w:tab w:val="right" w:leader="dot" w:pos="9737"/>
            </w:tabs>
          </w:pPr>
          <w:hyperlink w:anchor="_Toc25016">
            <w:r>
              <w:t>16</w:t>
            </w:r>
            <w:r>
              <w:rPr>
                <w:rFonts w:ascii="Calibri" w:eastAsia="Calibri" w:hAnsi="Calibri" w:cs="Calibri"/>
                <w:sz w:val="22"/>
              </w:rPr>
              <w:t xml:space="preserve">  </w:t>
            </w:r>
            <w:r>
              <w:t>Quality criteria and how we assess quality</w:t>
            </w:r>
            <w:r>
              <w:tab/>
            </w:r>
            <w:r>
              <w:fldChar w:fldCharType="begin"/>
            </w:r>
            <w:r>
              <w:instrText>PAGEREF _Toc25016 \h</w:instrText>
            </w:r>
            <w:r>
              <w:fldChar w:fldCharType="separate"/>
            </w:r>
            <w:r>
              <w:t xml:space="preserve">16 </w:t>
            </w:r>
            <w:r>
              <w:fldChar w:fldCharType="end"/>
            </w:r>
          </w:hyperlink>
        </w:p>
        <w:p w14:paraId="24155781" w14:textId="77777777" w:rsidR="009454EF" w:rsidRDefault="009454EF">
          <w:pPr>
            <w:pStyle w:val="TOC2"/>
            <w:tabs>
              <w:tab w:val="right" w:leader="dot" w:pos="9737"/>
            </w:tabs>
          </w:pPr>
          <w:hyperlink w:anchor="_Toc25017">
            <w:r>
              <w:t>17</w:t>
            </w:r>
            <w:r>
              <w:rPr>
                <w:rFonts w:ascii="Calibri" w:eastAsia="Calibri" w:hAnsi="Calibri" w:cs="Calibri"/>
                <w:sz w:val="22"/>
              </w:rPr>
              <w:t xml:space="preserve">  </w:t>
            </w:r>
            <w:r>
              <w:t>Price and how we assess price</w:t>
            </w:r>
            <w:r>
              <w:tab/>
            </w:r>
            <w:r>
              <w:fldChar w:fldCharType="begin"/>
            </w:r>
            <w:r>
              <w:instrText>PAGEREF _Toc25017 \h</w:instrText>
            </w:r>
            <w:r>
              <w:fldChar w:fldCharType="separate"/>
            </w:r>
            <w:r>
              <w:t xml:space="preserve">18 </w:t>
            </w:r>
            <w:r>
              <w:fldChar w:fldCharType="end"/>
            </w:r>
          </w:hyperlink>
        </w:p>
        <w:p w14:paraId="61CABC70" w14:textId="77777777" w:rsidR="009454EF" w:rsidRDefault="009454EF">
          <w:pPr>
            <w:pStyle w:val="TOC2"/>
            <w:tabs>
              <w:tab w:val="right" w:leader="dot" w:pos="9737"/>
            </w:tabs>
          </w:pPr>
          <w:hyperlink w:anchor="_Toc25018">
            <w:r>
              <w:t>18</w:t>
            </w:r>
            <w:r>
              <w:rPr>
                <w:rFonts w:ascii="Calibri" w:eastAsia="Calibri" w:hAnsi="Calibri" w:cs="Calibri"/>
                <w:sz w:val="22"/>
              </w:rPr>
              <w:t xml:space="preserve">  </w:t>
            </w:r>
            <w:r>
              <w:t>Summary of evaluation criteria</w:t>
            </w:r>
            <w:r>
              <w:tab/>
            </w:r>
            <w:r>
              <w:fldChar w:fldCharType="begin"/>
            </w:r>
            <w:r>
              <w:instrText>PAGEREF _Toc25018 \h</w:instrText>
            </w:r>
            <w:r>
              <w:fldChar w:fldCharType="separate"/>
            </w:r>
            <w:r>
              <w:t xml:space="preserve">19 </w:t>
            </w:r>
            <w:r>
              <w:fldChar w:fldCharType="end"/>
            </w:r>
          </w:hyperlink>
        </w:p>
        <w:p w14:paraId="39AC06F4" w14:textId="77777777" w:rsidR="009454EF" w:rsidRDefault="009454EF">
          <w:pPr>
            <w:pStyle w:val="TOC2"/>
            <w:tabs>
              <w:tab w:val="right" w:leader="dot" w:pos="9737"/>
            </w:tabs>
          </w:pPr>
          <w:hyperlink w:anchor="_Toc25019">
            <w:r>
              <w:t>19</w:t>
            </w:r>
            <w:r>
              <w:rPr>
                <w:rFonts w:ascii="Calibri" w:eastAsia="Calibri" w:hAnsi="Calibri" w:cs="Calibri"/>
                <w:sz w:val="22"/>
              </w:rPr>
              <w:t xml:space="preserve">  </w:t>
            </w:r>
            <w:r>
              <w:t>Group Bids</w:t>
            </w:r>
            <w:r>
              <w:tab/>
            </w:r>
            <w:r>
              <w:fldChar w:fldCharType="begin"/>
            </w:r>
            <w:r>
              <w:instrText>PAGEREF _Toc25019 \h</w:instrText>
            </w:r>
            <w:r>
              <w:fldChar w:fldCharType="separate"/>
            </w:r>
            <w:r>
              <w:t xml:space="preserve">20 </w:t>
            </w:r>
            <w:r>
              <w:fldChar w:fldCharType="end"/>
            </w:r>
          </w:hyperlink>
        </w:p>
        <w:p w14:paraId="1793988F" w14:textId="77777777" w:rsidR="009454EF" w:rsidRDefault="009454EF">
          <w:r>
            <w:fldChar w:fldCharType="end"/>
          </w:r>
        </w:p>
      </w:sdtContent>
    </w:sdt>
    <w:p w14:paraId="72561034" w14:textId="77777777" w:rsidR="00503E45" w:rsidRDefault="00503E45">
      <w:pPr>
        <w:pStyle w:val="Heading1"/>
        <w:spacing w:after="35" w:line="265" w:lineRule="auto"/>
        <w:ind w:left="250"/>
        <w:rPr>
          <w:u w:val="single" w:color="000000"/>
        </w:rPr>
      </w:pPr>
      <w:bookmarkStart w:id="73" w:name="_Toc24998"/>
    </w:p>
    <w:p w14:paraId="045BD957" w14:textId="3D95D546" w:rsidR="00503E45" w:rsidRDefault="00503E45">
      <w:pPr>
        <w:pStyle w:val="Heading1"/>
        <w:spacing w:after="35" w:line="265" w:lineRule="auto"/>
        <w:ind w:left="250"/>
        <w:rPr>
          <w:u w:val="single" w:color="000000"/>
        </w:rPr>
      </w:pPr>
    </w:p>
    <w:p w14:paraId="3823B9FE" w14:textId="77777777" w:rsidR="00503E45" w:rsidRPr="00503E45" w:rsidRDefault="00503E45" w:rsidP="00503E45"/>
    <w:p w14:paraId="1450583B" w14:textId="24419E1F" w:rsidR="009454EF" w:rsidRDefault="009454EF">
      <w:pPr>
        <w:pStyle w:val="Heading1"/>
        <w:spacing w:after="35" w:line="265" w:lineRule="auto"/>
        <w:ind w:left="250"/>
      </w:pPr>
      <w:r>
        <w:rPr>
          <w:u w:val="single" w:color="000000"/>
        </w:rPr>
        <w:lastRenderedPageBreak/>
        <w:t>Overview of Requirements</w:t>
      </w:r>
      <w:r>
        <w:t xml:space="preserve"> </w:t>
      </w:r>
      <w:bookmarkEnd w:id="73"/>
    </w:p>
    <w:p w14:paraId="69557E56" w14:textId="77777777" w:rsidR="009454EF" w:rsidRDefault="009454EF">
      <w:pPr>
        <w:pStyle w:val="Heading2"/>
        <w:ind w:left="703"/>
      </w:pPr>
      <w:bookmarkStart w:id="74" w:name="_Toc24999"/>
      <w:r>
        <w:t xml:space="preserve">1. Introduction </w:t>
      </w:r>
      <w:bookmarkEnd w:id="74"/>
    </w:p>
    <w:p w14:paraId="0FDC9E35" w14:textId="77777777" w:rsidR="009454EF" w:rsidRDefault="009454EF">
      <w:pPr>
        <w:spacing w:after="0"/>
        <w:ind w:left="1401" w:hanging="566"/>
      </w:pPr>
      <w:r>
        <w:t xml:space="preserve">1.1 HM Revenue &amp; Customs (HMRC) invites Tenderers from the Research &amp; Insights agreement (RM6126) to undertake research aimed at understanding the fall in Child Benefit take-up and to identify how best to support customers to apply for Child Benefit.   </w:t>
      </w:r>
    </w:p>
    <w:p w14:paraId="1DAE1F7D" w14:textId="77777777" w:rsidR="009454EF" w:rsidRDefault="009454EF">
      <w:pPr>
        <w:spacing w:after="5" w:line="259" w:lineRule="auto"/>
        <w:ind w:left="1416"/>
      </w:pPr>
      <w:r>
        <w:t xml:space="preserve"> </w:t>
      </w:r>
    </w:p>
    <w:p w14:paraId="3BFAB5C8" w14:textId="77777777" w:rsidR="009454EF" w:rsidRDefault="009454EF">
      <w:pPr>
        <w:ind w:left="1401" w:hanging="566"/>
      </w:pPr>
      <w:r>
        <w:t>1.2 HMRC intends for this contract to be in place by the end of w/c 31</w:t>
      </w:r>
      <w:r>
        <w:rPr>
          <w:vertAlign w:val="superscript"/>
        </w:rPr>
        <w:t>st</w:t>
      </w:r>
      <w:r>
        <w:t xml:space="preserve"> October 2022, with final outputs expected by July 2023. </w:t>
      </w:r>
    </w:p>
    <w:p w14:paraId="1C1C9C6A" w14:textId="77777777" w:rsidR="009454EF" w:rsidRDefault="009454EF">
      <w:pPr>
        <w:ind w:left="1401" w:hanging="566"/>
      </w:pPr>
      <w:r>
        <w:t xml:space="preserve">1.3 The contract will be awarded to the organisation that is deemed to have submitted the most economically advantageous tender (MEAT). Assessment will be based on the factors outlined in sections 15 to 18.  </w:t>
      </w:r>
    </w:p>
    <w:p w14:paraId="10A9516C" w14:textId="77777777" w:rsidR="009454EF" w:rsidRDefault="009454EF">
      <w:pPr>
        <w:ind w:left="1401" w:hanging="566"/>
      </w:pPr>
      <w:r>
        <w:t xml:space="preserve">1.4 To ensure fairness all tenderers are required to submit their tenders in accordance with these instructions and any further requirements contained in the invitation letter. </w:t>
      </w:r>
      <w:r>
        <w:rPr>
          <w:u w:val="single" w:color="000000"/>
        </w:rPr>
        <w:t>Failure to comply could invalidate your tender.</w:t>
      </w:r>
      <w:r>
        <w:t xml:space="preserve"> </w:t>
      </w:r>
    </w:p>
    <w:p w14:paraId="4AA55794" w14:textId="77777777" w:rsidR="009454EF" w:rsidRDefault="009454EF">
      <w:pPr>
        <w:spacing w:after="160" w:line="259" w:lineRule="auto"/>
        <w:ind w:left="708"/>
      </w:pPr>
      <w:r>
        <w:t xml:space="preserve"> </w:t>
      </w:r>
    </w:p>
    <w:p w14:paraId="441D9D36" w14:textId="77777777" w:rsidR="009454EF" w:rsidRDefault="009454EF">
      <w:pPr>
        <w:pStyle w:val="Heading2"/>
        <w:ind w:left="703"/>
      </w:pPr>
      <w:bookmarkStart w:id="75" w:name="_Toc25000"/>
      <w:r>
        <w:t xml:space="preserve">2. Context </w:t>
      </w:r>
      <w:bookmarkEnd w:id="75"/>
    </w:p>
    <w:p w14:paraId="3F24EF4B" w14:textId="77777777" w:rsidR="009454EF" w:rsidRDefault="009454EF">
      <w:pPr>
        <w:ind w:left="1500" w:hanging="432"/>
      </w:pPr>
      <w:r>
        <w:t xml:space="preserve">2.1. Child Benefit was introduced in 1977 as a regular payment for all qualifying parents and guardians of children and young people. Those responsible for bringing up a child, where the child is either under 16 years old or under 20 years old if they stay in approved education or training, are eligible to claim the benefit.  </w:t>
      </w:r>
    </w:p>
    <w:p w14:paraId="06FCDF73" w14:textId="77777777" w:rsidR="009454EF" w:rsidRDefault="009454EF">
      <w:pPr>
        <w:ind w:left="1500" w:hanging="432"/>
      </w:pPr>
      <w:r>
        <w:t xml:space="preserve">2.2. Child Benefit is designed to help with the extra costs of bringing up a child. The weekly rate is £21.80 for the eldest or only child, and £14.45 for every additional child. It is paid every 4 weeks and there is no limit to the number of children an individual can claim for. </w:t>
      </w:r>
    </w:p>
    <w:p w14:paraId="2E14F208" w14:textId="77777777" w:rsidR="009454EF" w:rsidRDefault="009454EF">
      <w:pPr>
        <w:ind w:left="1500" w:hanging="432"/>
      </w:pPr>
      <w:r>
        <w:t xml:space="preserve">2.3. Child Benefit therefore provides a valuable contribution towards the increasing cost of living, food, </w:t>
      </w:r>
      <w:proofErr w:type="gramStart"/>
      <w:r>
        <w:t>clothing</w:t>
      </w:r>
      <w:proofErr w:type="gramEnd"/>
      <w:r>
        <w:t xml:space="preserve"> and other expenses, particularly essential in recovery from the pandemic. External research</w:t>
      </w:r>
      <w:r>
        <w:rPr>
          <w:vertAlign w:val="superscript"/>
        </w:rPr>
        <w:footnoteReference w:id="1"/>
      </w:r>
      <w:r>
        <w:rPr>
          <w:vertAlign w:val="subscript"/>
        </w:rPr>
        <w:t xml:space="preserve"> </w:t>
      </w:r>
      <w:r>
        <w:t xml:space="preserve">indicates child poverty has increased throughout the pandemic and Child Benefit is a key welfare product in helping to tackle child poverty.  </w:t>
      </w:r>
    </w:p>
    <w:p w14:paraId="7495D9AC" w14:textId="77777777" w:rsidR="009454EF" w:rsidRDefault="009454EF">
      <w:pPr>
        <w:spacing w:after="294"/>
        <w:ind w:left="1500" w:hanging="432"/>
      </w:pPr>
      <w:r>
        <w:t xml:space="preserve">2.4. This research is being commissioned as Child Benefit take-up rates have fallen more sharply than expected since the pandemic </w:t>
      </w:r>
      <w:proofErr w:type="gramStart"/>
      <w:r>
        <w:t>began</w:t>
      </w:r>
      <w:proofErr w:type="gramEnd"/>
      <w:r>
        <w:t xml:space="preserve"> and the rates are not recovering as expected. By August 2021, the number of children under-one in families </w:t>
      </w:r>
      <w:r>
        <w:lastRenderedPageBreak/>
        <w:t xml:space="preserve">receiving Child Benefit payments was 12% lower than the pre-pandemic level (February 2020). Claims have not currently returned </w:t>
      </w:r>
    </w:p>
    <w:p w14:paraId="33CC813D" w14:textId="77777777" w:rsidR="009454EF" w:rsidRDefault="009454EF">
      <w:pPr>
        <w:spacing w:after="0" w:line="259" w:lineRule="auto"/>
        <w:ind w:left="708"/>
      </w:pPr>
      <w:r>
        <w:rPr>
          <w:rFonts w:cs="Calibri"/>
          <w:noProof/>
        </w:rPr>
        <mc:AlternateContent>
          <mc:Choice Requires="wpg">
            <w:drawing>
              <wp:inline distT="0" distB="0" distL="0" distR="0" wp14:anchorId="0253E68A" wp14:editId="67BFE4E4">
                <wp:extent cx="1828800" cy="7620"/>
                <wp:effectExtent l="0" t="0" r="0" b="0"/>
                <wp:docPr id="19175" name="Group 19175"/>
                <wp:cNvGraphicFramePr/>
                <a:graphic xmlns:a="http://schemas.openxmlformats.org/drawingml/2006/main">
                  <a:graphicData uri="http://schemas.microsoft.com/office/word/2010/wordprocessingGroup">
                    <wpg:wgp>
                      <wpg:cNvGrpSpPr/>
                      <wpg:grpSpPr>
                        <a:xfrm>
                          <a:off x="0" y="0"/>
                          <a:ext cx="1828800" cy="7620"/>
                          <a:chOff x="0" y="0"/>
                          <a:chExt cx="1828800" cy="7620"/>
                        </a:xfrm>
                      </wpg:grpSpPr>
                      <wps:wsp>
                        <wps:cNvPr id="25475" name="Shape 25475"/>
                        <wps:cNvSpPr/>
                        <wps:spPr>
                          <a:xfrm>
                            <a:off x="0" y="0"/>
                            <a:ext cx="1828800" cy="9144"/>
                          </a:xfrm>
                          <a:custGeom>
                            <a:avLst/>
                            <a:gdLst/>
                            <a:ahLst/>
                            <a:cxnLst/>
                            <a:rect l="0" t="0" r="0" b="0"/>
                            <a:pathLst>
                              <a:path w="1828800" h="9144">
                                <a:moveTo>
                                  <a:pt x="0" y="0"/>
                                </a:moveTo>
                                <a:lnTo>
                                  <a:pt x="1828800" y="0"/>
                                </a:lnTo>
                                <a:lnTo>
                                  <a:pt x="1828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FCC9FBF" id="Group 19175" o:spid="_x0000_s1026" style="width:2in;height:.6pt;mso-position-horizontal-relative:char;mso-position-vertical-relative:line" coordsize="1828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">
                <v:shape id="Shape 25475" o:spid="_x0000_s1027" style="position:absolute;width:18288;height:91;visibility:visible;mso-wrap-style:square;v-text-anchor:top" coordsize="18288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" path="m,l1828800,r,9144l,9144,,e" fillcolor="black" stroked="f" strokeweight="0">
                  <v:stroke miterlimit="83231f" joinstyle="miter"/>
                  <v:path arrowok="t" textboxrect="0,0,1828800,9144"/>
                </v:shape>
                <w10:anchorlock/>
              </v:group>
            </w:pict>
          </mc:Fallback>
        </mc:AlternateContent>
      </w:r>
      <w:r>
        <w:t xml:space="preserve"> </w:t>
      </w:r>
    </w:p>
    <w:p w14:paraId="4786CE69" w14:textId="77777777" w:rsidR="009454EF" w:rsidRDefault="009454EF">
      <w:pPr>
        <w:ind w:left="1510"/>
      </w:pPr>
      <w:r>
        <w:t xml:space="preserve">to pre-pandemic levels and there is a risk that without timely intervention this pattern may continue. </w:t>
      </w:r>
    </w:p>
    <w:p w14:paraId="19A97667" w14:textId="77777777" w:rsidR="009454EF" w:rsidRDefault="009454EF">
      <w:pPr>
        <w:ind w:left="1500" w:hanging="432"/>
      </w:pPr>
      <w:r>
        <w:t xml:space="preserve">2.5. Although there is some evidence of slow recovery in take-up rates, many of the families who had children at the beginning of the pandemic have still not claimed. Reductions cannot be fully explained by falling birth rates or migration. </w:t>
      </w:r>
    </w:p>
    <w:p w14:paraId="1530023F" w14:textId="77777777" w:rsidR="009454EF" w:rsidRDefault="009454EF">
      <w:pPr>
        <w:ind w:left="1500" w:hanging="432"/>
      </w:pPr>
      <w:r>
        <w:t xml:space="preserve">2.6. A factor potentially impacting the take-up of Child Benefit is the </w:t>
      </w:r>
      <w:proofErr w:type="gramStart"/>
      <w:r>
        <w:t>High Income</w:t>
      </w:r>
      <w:proofErr w:type="gramEnd"/>
      <w:r>
        <w:t xml:space="preserve"> Child Benefit Charge (HICBC). HICBC was introduced in January 2013, the tax charge increases gradually for taxpayers with incomes between £50,000 and £60,000. Where income exceeds £60,000, the tax charge is equal to the amount payable in Child Benefit. The tax charge is paid through </w:t>
      </w:r>
      <w:proofErr w:type="spellStart"/>
      <w:r>
        <w:t>Self Assessment</w:t>
      </w:r>
      <w:proofErr w:type="spellEnd"/>
      <w:r>
        <w:t xml:space="preserve">. However, there are non-monetary benefits that can be received when claiming Child Benefit. Claimants liable to HICBC should still claim Child Benefit to receive the non-monetary benefits of Child Benefit but have the option to opt-out of receiving the benefit, thereby ceasing their payments.  </w:t>
      </w:r>
    </w:p>
    <w:p w14:paraId="6DD2E088" w14:textId="77777777" w:rsidR="009454EF" w:rsidRDefault="009454EF">
      <w:pPr>
        <w:ind w:left="1500" w:hanging="432"/>
      </w:pPr>
      <w:r>
        <w:t xml:space="preserve">2.7. Being liable for this charge does not affect entitlement to Child Benefit but individuals are liable to the tax charge if they or their partner receive Child Benefit payments and they or their partner has an adjusted net income of more than £50,000 per year. If both partners have an adjusted net income over £50,000, the partner earning more is liable to the tax charge.    </w:t>
      </w:r>
    </w:p>
    <w:p w14:paraId="4DFCC3B5" w14:textId="77777777" w:rsidR="009454EF" w:rsidRDefault="009454EF">
      <w:pPr>
        <w:spacing w:after="32"/>
        <w:ind w:left="1500" w:hanging="432"/>
      </w:pPr>
      <w:r>
        <w:t xml:space="preserve">2.8. As the threshold for HICBC has remained static since 2013, there is an effect of fiscal drag where more families become eligible for the charge over-time unless they opt-out of receiving payments. There are a projected 5.5 million higher rate income </w:t>
      </w:r>
      <w:proofErr w:type="gramStart"/>
      <w:r>
        <w:t>tax payers</w:t>
      </w:r>
      <w:proofErr w:type="gramEnd"/>
      <w:r>
        <w:t xml:space="preserve"> in the tax year 2022 to 2023, which is a 43.9% increase compared to 2019 to 2020. Higher rate income </w:t>
      </w:r>
      <w:proofErr w:type="gramStart"/>
      <w:r>
        <w:t>tax payers</w:t>
      </w:r>
      <w:proofErr w:type="gramEnd"/>
      <w:r>
        <w:t xml:space="preserve"> make up a projected 16.2% of the overall income tax paying population in 2022 to 2023</w:t>
      </w:r>
      <w:r>
        <w:rPr>
          <w:vertAlign w:val="superscript"/>
        </w:rPr>
        <w:footnoteReference w:id="2"/>
      </w:r>
      <w:r>
        <w:t xml:space="preserve">. </w:t>
      </w:r>
    </w:p>
    <w:p w14:paraId="74ECCBCB" w14:textId="77777777" w:rsidR="009454EF" w:rsidRDefault="009454EF">
      <w:pPr>
        <w:spacing w:after="0" w:line="259" w:lineRule="auto"/>
        <w:ind w:left="1555"/>
      </w:pPr>
      <w:r>
        <w:t xml:space="preserve"> </w:t>
      </w:r>
    </w:p>
    <w:p w14:paraId="3B53312B" w14:textId="77777777" w:rsidR="009454EF" w:rsidRDefault="009454EF">
      <w:pPr>
        <w:ind w:left="1500" w:hanging="432"/>
      </w:pPr>
      <w:r>
        <w:t>2.9. There is also some evidence that the Child Benefit claim form may be confusing or off putting for those liable to HICBC</w:t>
      </w:r>
      <w:r>
        <w:rPr>
          <w:vertAlign w:val="superscript"/>
        </w:rPr>
        <w:footnoteReference w:id="3"/>
      </w:r>
      <w:r>
        <w:t xml:space="preserve"> which may be impacting claims. Where a customer would be subject to HICBC, the research will provide understanding around customer behaviour, attitudes and choices made to opt-in or opt-out of Child Benefit payments.  </w:t>
      </w:r>
    </w:p>
    <w:p w14:paraId="0192135E" w14:textId="77777777" w:rsidR="009454EF" w:rsidRDefault="009454EF">
      <w:pPr>
        <w:spacing w:after="23" w:line="259" w:lineRule="auto"/>
        <w:ind w:left="1555"/>
      </w:pPr>
      <w:r>
        <w:t xml:space="preserve"> </w:t>
      </w:r>
    </w:p>
    <w:p w14:paraId="5BFDC155" w14:textId="77777777" w:rsidR="009454EF" w:rsidRDefault="009454EF">
      <w:pPr>
        <w:ind w:left="1500" w:hanging="432"/>
      </w:pPr>
      <w:r>
        <w:lastRenderedPageBreak/>
        <w:t xml:space="preserve">2.10. </w:t>
      </w:r>
      <w:r>
        <w:tab/>
        <w:t xml:space="preserve">More widely the research will support HMRC’s objective to maximise support and welfare provided by Child Benefit to families with children. We currently have little information or insight into why some people who may be eligible to claim Child Benefit are continuing to fail to apply. Gaining an understanding into the reasons behind this decrease in take-up will enable </w:t>
      </w:r>
    </w:p>
    <w:p w14:paraId="30EEBEF6" w14:textId="77777777" w:rsidR="009454EF" w:rsidRDefault="009454EF">
      <w:pPr>
        <w:spacing w:after="0" w:line="259" w:lineRule="auto"/>
        <w:ind w:left="708"/>
      </w:pPr>
      <w:r>
        <w:rPr>
          <w:rFonts w:cs="Calibri"/>
          <w:noProof/>
        </w:rPr>
        <mc:AlternateContent>
          <mc:Choice Requires="wpg">
            <w:drawing>
              <wp:inline distT="0" distB="0" distL="0" distR="0" wp14:anchorId="47BCF7D7" wp14:editId="377CCAFF">
                <wp:extent cx="1828800" cy="7620"/>
                <wp:effectExtent l="0" t="0" r="0" b="0"/>
                <wp:docPr id="19772" name="Group 19772"/>
                <wp:cNvGraphicFramePr/>
                <a:graphic xmlns:a="http://schemas.openxmlformats.org/drawingml/2006/main">
                  <a:graphicData uri="http://schemas.microsoft.com/office/word/2010/wordprocessingGroup">
                    <wpg:wgp>
                      <wpg:cNvGrpSpPr/>
                      <wpg:grpSpPr>
                        <a:xfrm>
                          <a:off x="0" y="0"/>
                          <a:ext cx="1828800" cy="7620"/>
                          <a:chOff x="0" y="0"/>
                          <a:chExt cx="1828800" cy="7620"/>
                        </a:xfrm>
                      </wpg:grpSpPr>
                      <wps:wsp>
                        <wps:cNvPr id="25477" name="Shape 25477"/>
                        <wps:cNvSpPr/>
                        <wps:spPr>
                          <a:xfrm>
                            <a:off x="0" y="0"/>
                            <a:ext cx="1828800" cy="9144"/>
                          </a:xfrm>
                          <a:custGeom>
                            <a:avLst/>
                            <a:gdLst/>
                            <a:ahLst/>
                            <a:cxnLst/>
                            <a:rect l="0" t="0" r="0" b="0"/>
                            <a:pathLst>
                              <a:path w="1828800" h="9144">
                                <a:moveTo>
                                  <a:pt x="0" y="0"/>
                                </a:moveTo>
                                <a:lnTo>
                                  <a:pt x="1828800" y="0"/>
                                </a:lnTo>
                                <a:lnTo>
                                  <a:pt x="1828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65B97FB" id="Group 19772" o:spid="_x0000_s1026" style="width:2in;height:.6pt;mso-position-horizontal-relative:char;mso-position-vertical-relative:line" coordsize="1828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">
                <v:shape id="Shape 25477" o:spid="_x0000_s1027" style="position:absolute;width:18288;height:91;visibility:visible;mso-wrap-style:square;v-text-anchor:top" coordsize="18288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" path="m,l1828800,r,9144l,9144,,e" fillcolor="black" stroked="f" strokeweight="0">
                  <v:stroke miterlimit="83231f" joinstyle="miter"/>
                  <v:path arrowok="t" textboxrect="0,0,1828800,9144"/>
                </v:shape>
                <w10:anchorlock/>
              </v:group>
            </w:pict>
          </mc:Fallback>
        </mc:AlternateContent>
      </w:r>
      <w:r>
        <w:t xml:space="preserve"> </w:t>
      </w:r>
    </w:p>
    <w:p w14:paraId="5220A394" w14:textId="77777777" w:rsidR="009454EF" w:rsidRDefault="009454EF">
      <w:pPr>
        <w:ind w:left="1510"/>
      </w:pPr>
      <w:r>
        <w:t xml:space="preserve">HMRC to develop targeted interventions and communications aimed at those who are eligible for the benefit but are not currently claiming. Changes made </w:t>
      </w:r>
      <w:proofErr w:type="gramStart"/>
      <w:r>
        <w:t>as a result of</w:t>
      </w:r>
      <w:proofErr w:type="gramEnd"/>
      <w:r>
        <w:t xml:space="preserve"> the research have potential to promote Child Benefit and improve customer journeys for the associated non-monetary benefits too. </w:t>
      </w:r>
    </w:p>
    <w:p w14:paraId="49305828" w14:textId="77777777" w:rsidR="009454EF" w:rsidRDefault="009454EF">
      <w:pPr>
        <w:spacing w:after="160" w:line="259" w:lineRule="auto"/>
        <w:ind w:left="708"/>
      </w:pPr>
      <w:r>
        <w:t xml:space="preserve"> </w:t>
      </w:r>
    </w:p>
    <w:p w14:paraId="5EB2C5E1" w14:textId="77777777" w:rsidR="009454EF" w:rsidRDefault="009454EF">
      <w:pPr>
        <w:pStyle w:val="Heading2"/>
        <w:ind w:left="703"/>
      </w:pPr>
      <w:bookmarkStart w:id="76" w:name="_Toc25001"/>
      <w:r>
        <w:t xml:space="preserve">3.  Research Aims &amp; Objectives </w:t>
      </w:r>
      <w:bookmarkEnd w:id="76"/>
    </w:p>
    <w:p w14:paraId="0B5E304B" w14:textId="77777777" w:rsidR="009454EF" w:rsidRDefault="009454EF">
      <w:pPr>
        <w:spacing w:after="0" w:line="259" w:lineRule="auto"/>
        <w:ind w:left="1428"/>
      </w:pPr>
      <w:r>
        <w:rPr>
          <w:rFonts w:ascii="Arial" w:eastAsia="Arial" w:hAnsi="Arial" w:cs="Arial"/>
          <w:b/>
        </w:rPr>
        <w:t xml:space="preserve"> </w:t>
      </w:r>
    </w:p>
    <w:p w14:paraId="376F61C6" w14:textId="77777777" w:rsidR="009454EF" w:rsidRDefault="009454EF">
      <w:pPr>
        <w:ind w:left="845"/>
      </w:pPr>
      <w:r>
        <w:t xml:space="preserve">3.1. The core objectives of this research are: </w:t>
      </w:r>
    </w:p>
    <w:p w14:paraId="4706A911" w14:textId="77777777" w:rsidR="009454EF" w:rsidRDefault="009454EF" w:rsidP="009454EF">
      <w:pPr>
        <w:numPr>
          <w:ilvl w:val="0"/>
          <w:numId w:val="5"/>
        </w:numPr>
        <w:spacing w:after="155" w:line="265" w:lineRule="auto"/>
        <w:ind w:hanging="360"/>
      </w:pPr>
      <w:r>
        <w:t xml:space="preserve">To understand the decline in Child Benefit take-up rates and why eligible customers are not claiming </w:t>
      </w:r>
    </w:p>
    <w:p w14:paraId="6590DD98" w14:textId="77777777" w:rsidR="009454EF" w:rsidRDefault="009454EF" w:rsidP="009454EF">
      <w:pPr>
        <w:numPr>
          <w:ilvl w:val="0"/>
          <w:numId w:val="5"/>
        </w:numPr>
        <w:spacing w:after="155" w:line="265" w:lineRule="auto"/>
        <w:ind w:hanging="360"/>
      </w:pPr>
      <w:r>
        <w:t xml:space="preserve">To explore how to address any barriers to applying for Child Benefit </w:t>
      </w:r>
    </w:p>
    <w:p w14:paraId="01920A0E" w14:textId="77777777" w:rsidR="009454EF" w:rsidRDefault="009454EF" w:rsidP="009454EF">
      <w:pPr>
        <w:numPr>
          <w:ilvl w:val="0"/>
          <w:numId w:val="5"/>
        </w:numPr>
        <w:spacing w:after="155" w:line="265" w:lineRule="auto"/>
        <w:ind w:hanging="360"/>
      </w:pPr>
      <w:r>
        <w:t xml:space="preserve">To target communications to ensure Child Benefit applications are encouraged. </w:t>
      </w:r>
    </w:p>
    <w:p w14:paraId="5A987BE6" w14:textId="77777777" w:rsidR="009454EF" w:rsidRDefault="009454EF">
      <w:pPr>
        <w:ind w:left="845"/>
      </w:pPr>
      <w:r>
        <w:t xml:space="preserve">3.2. The research aims to answer the following questions: </w:t>
      </w:r>
    </w:p>
    <w:p w14:paraId="26D604F8" w14:textId="77777777" w:rsidR="009454EF" w:rsidRDefault="009454EF" w:rsidP="009454EF">
      <w:pPr>
        <w:numPr>
          <w:ilvl w:val="0"/>
          <w:numId w:val="6"/>
        </w:numPr>
        <w:spacing w:after="155" w:line="265" w:lineRule="auto"/>
        <w:ind w:hanging="360"/>
      </w:pPr>
      <w:r>
        <w:t xml:space="preserve">Who are the main cohorts of non-claimants with children under 3 years old?  </w:t>
      </w:r>
    </w:p>
    <w:p w14:paraId="7B8957EF" w14:textId="77777777" w:rsidR="009454EF" w:rsidRDefault="009454EF" w:rsidP="009454EF">
      <w:pPr>
        <w:numPr>
          <w:ilvl w:val="0"/>
          <w:numId w:val="6"/>
        </w:numPr>
        <w:spacing w:after="155" w:line="265" w:lineRule="auto"/>
        <w:ind w:hanging="360"/>
      </w:pPr>
      <w:r>
        <w:t xml:space="preserve">What are the main barriers to claiming amongst these groups? </w:t>
      </w:r>
    </w:p>
    <w:p w14:paraId="5EFF74B7" w14:textId="77777777" w:rsidR="009454EF" w:rsidRDefault="009454EF" w:rsidP="009454EF">
      <w:pPr>
        <w:numPr>
          <w:ilvl w:val="0"/>
          <w:numId w:val="6"/>
        </w:numPr>
        <w:spacing w:after="155" w:line="265" w:lineRule="auto"/>
        <w:ind w:hanging="360"/>
      </w:pPr>
      <w:r>
        <w:t xml:space="preserve">Are customers aware of Child Benefit and understand the eligibility criteria? </w:t>
      </w:r>
    </w:p>
    <w:p w14:paraId="092D8B4B" w14:textId="77777777" w:rsidR="009454EF" w:rsidRDefault="009454EF" w:rsidP="009454EF">
      <w:pPr>
        <w:numPr>
          <w:ilvl w:val="0"/>
          <w:numId w:val="6"/>
        </w:numPr>
        <w:spacing w:after="155" w:line="265" w:lineRule="auto"/>
        <w:ind w:hanging="360"/>
      </w:pPr>
      <w:r>
        <w:t>How are new parents typically prompted to claim Child Benefit? (</w:t>
      </w:r>
      <w:proofErr w:type="gramStart"/>
      <w:r>
        <w:t>e.g.</w:t>
      </w:r>
      <w:proofErr w:type="gramEnd"/>
      <w:r>
        <w:t xml:space="preserve"> baby groups, bounty packs etc.) </w:t>
      </w:r>
    </w:p>
    <w:p w14:paraId="3345648F" w14:textId="77777777" w:rsidR="009454EF" w:rsidRDefault="009454EF" w:rsidP="009454EF">
      <w:pPr>
        <w:numPr>
          <w:ilvl w:val="0"/>
          <w:numId w:val="6"/>
        </w:numPr>
        <w:spacing w:after="155" w:line="265" w:lineRule="auto"/>
        <w:ind w:hanging="360"/>
      </w:pPr>
      <w:r>
        <w:t xml:space="preserve">Do customers know how to claim Child Benefit? How do customers find out this information? </w:t>
      </w:r>
    </w:p>
    <w:p w14:paraId="082F9127" w14:textId="77777777" w:rsidR="009454EF" w:rsidRDefault="009454EF" w:rsidP="009454EF">
      <w:pPr>
        <w:numPr>
          <w:ilvl w:val="0"/>
          <w:numId w:val="6"/>
        </w:numPr>
        <w:spacing w:after="155" w:line="265" w:lineRule="auto"/>
        <w:ind w:hanging="360"/>
      </w:pPr>
      <w:r>
        <w:t xml:space="preserve">Why have customers delayed claiming Child Benefit or are not claiming at all? </w:t>
      </w:r>
    </w:p>
    <w:p w14:paraId="23E0386C" w14:textId="77777777" w:rsidR="009454EF" w:rsidRDefault="009454EF" w:rsidP="009454EF">
      <w:pPr>
        <w:numPr>
          <w:ilvl w:val="0"/>
          <w:numId w:val="6"/>
        </w:numPr>
        <w:spacing w:after="0" w:line="265" w:lineRule="auto"/>
        <w:ind w:hanging="360"/>
      </w:pPr>
      <w:r>
        <w:t xml:space="preserve">Do customers understand all the benefits associated with claiming </w:t>
      </w:r>
    </w:p>
    <w:p w14:paraId="6BE14400" w14:textId="77777777" w:rsidR="009454EF" w:rsidRDefault="009454EF">
      <w:pPr>
        <w:spacing w:after="160" w:line="259" w:lineRule="auto"/>
        <w:ind w:right="251"/>
        <w:jc w:val="right"/>
      </w:pPr>
      <w:r>
        <w:t xml:space="preserve">Child Benefit? What is their understanding of non-monetary benefits? </w:t>
      </w:r>
    </w:p>
    <w:p w14:paraId="3BFA99C1" w14:textId="77777777" w:rsidR="009454EF" w:rsidRDefault="009454EF" w:rsidP="009454EF">
      <w:pPr>
        <w:numPr>
          <w:ilvl w:val="0"/>
          <w:numId w:val="6"/>
        </w:numPr>
        <w:spacing w:after="155" w:line="265" w:lineRule="auto"/>
        <w:ind w:hanging="360"/>
      </w:pPr>
      <w:r>
        <w:t xml:space="preserve">Is the language on the claim form and guidance confusing? </w:t>
      </w:r>
      <w:proofErr w:type="gramStart"/>
      <w:r>
        <w:t>In particular the</w:t>
      </w:r>
      <w:proofErr w:type="gramEnd"/>
      <w:r>
        <w:t xml:space="preserve"> use of the word ‘claim’ for HICBC liable individuals who opt-out of payments? </w:t>
      </w:r>
    </w:p>
    <w:p w14:paraId="17E94E5E" w14:textId="77777777" w:rsidR="009454EF" w:rsidRDefault="009454EF" w:rsidP="009454EF">
      <w:pPr>
        <w:numPr>
          <w:ilvl w:val="0"/>
          <w:numId w:val="6"/>
        </w:numPr>
        <w:spacing w:after="155" w:line="265" w:lineRule="auto"/>
        <w:ind w:hanging="360"/>
      </w:pPr>
      <w:r>
        <w:lastRenderedPageBreak/>
        <w:t xml:space="preserve">Does being liable to HICBC encourage customers to not claim at all? What are the reasons behind this? </w:t>
      </w:r>
    </w:p>
    <w:p w14:paraId="6C702A09" w14:textId="77777777" w:rsidR="009454EF" w:rsidRDefault="009454EF" w:rsidP="009454EF">
      <w:pPr>
        <w:numPr>
          <w:ilvl w:val="0"/>
          <w:numId w:val="6"/>
        </w:numPr>
        <w:spacing w:after="155" w:line="265" w:lineRule="auto"/>
        <w:ind w:hanging="360"/>
      </w:pPr>
      <w:r>
        <w:t xml:space="preserve">For those liable to HICBC, why did they choose to pay the charge/ opt out? Especially for those with earnings between £50-60k who don’t have to pay all their Child Benefit payments back but </w:t>
      </w:r>
      <w:proofErr w:type="gramStart"/>
      <w:r>
        <w:t>have to</w:t>
      </w:r>
      <w:proofErr w:type="gramEnd"/>
      <w:r>
        <w:t xml:space="preserve"> make a choice. </w:t>
      </w:r>
    </w:p>
    <w:p w14:paraId="26099CD3" w14:textId="77777777" w:rsidR="009454EF" w:rsidRDefault="009454EF" w:rsidP="009454EF">
      <w:pPr>
        <w:numPr>
          <w:ilvl w:val="0"/>
          <w:numId w:val="6"/>
        </w:numPr>
        <w:spacing w:after="0" w:line="265" w:lineRule="auto"/>
        <w:ind w:hanging="360"/>
      </w:pPr>
      <w:r>
        <w:t xml:space="preserve">What are customers likely to do in future if their income increases or decreases? </w:t>
      </w:r>
    </w:p>
    <w:p w14:paraId="59D20060" w14:textId="77777777" w:rsidR="009454EF" w:rsidRDefault="009454EF" w:rsidP="009454EF">
      <w:pPr>
        <w:numPr>
          <w:ilvl w:val="0"/>
          <w:numId w:val="6"/>
        </w:numPr>
        <w:spacing w:after="160" w:line="259" w:lineRule="auto"/>
        <w:ind w:hanging="360"/>
      </w:pPr>
      <w:r>
        <w:t xml:space="preserve">Are customers aware of their duty to inform change in circumstances? </w:t>
      </w:r>
    </w:p>
    <w:p w14:paraId="686545C7" w14:textId="77777777" w:rsidR="009454EF" w:rsidRDefault="009454EF">
      <w:pPr>
        <w:spacing w:after="160" w:line="259" w:lineRule="auto"/>
        <w:ind w:left="708"/>
      </w:pPr>
      <w:r>
        <w:t xml:space="preserve"> </w:t>
      </w:r>
    </w:p>
    <w:p w14:paraId="1032DA82" w14:textId="77777777" w:rsidR="009454EF" w:rsidRDefault="009454EF">
      <w:pPr>
        <w:pStyle w:val="Heading2"/>
        <w:ind w:left="703"/>
      </w:pPr>
      <w:bookmarkStart w:id="77" w:name="_Toc25002"/>
      <w:r>
        <w:t xml:space="preserve">4 Methodology &amp; Scope </w:t>
      </w:r>
      <w:bookmarkEnd w:id="77"/>
    </w:p>
    <w:p w14:paraId="09F56055" w14:textId="77777777" w:rsidR="009454EF" w:rsidRDefault="009454EF">
      <w:pPr>
        <w:spacing w:after="73"/>
        <w:ind w:left="1401" w:hanging="566"/>
      </w:pPr>
      <w:r>
        <w:t xml:space="preserve">4.1 An indicative methodology for the research is proposed below. Where Tenderers believe an amendment to the indicative methodology provided below would better meet HMRC’s research aims and objectives as set out within Section 3 or otherwise deliver added value to HMRC, Tenderers are permitted to include these amendments in their bids so long as their proposed benefits are clearly justified in the bid. This could include a different approach to sampling this population or breaking down fieldwork. However, the approach must be mixed methods with at least 250 quantitative surveys of delayed claimants and 750 surveys </w:t>
      </w:r>
      <w:proofErr w:type="gramStart"/>
      <w:r>
        <w:t>with  non</w:t>
      </w:r>
      <w:proofErr w:type="gramEnd"/>
      <w:r>
        <w:t xml:space="preserve">-claimants and 40 qualitative interviews.  </w:t>
      </w:r>
    </w:p>
    <w:p w14:paraId="257D4BB6" w14:textId="77777777" w:rsidR="009454EF" w:rsidRDefault="009454EF">
      <w:pPr>
        <w:spacing w:after="234"/>
        <w:ind w:left="1401" w:hanging="566"/>
      </w:pPr>
      <w:r>
        <w:t xml:space="preserve">4.2 Tenderers must ensure all approaches are fully justified, and any risks fully explained. </w:t>
      </w:r>
    </w:p>
    <w:p w14:paraId="52CE4CBF" w14:textId="77777777" w:rsidR="009454EF" w:rsidRDefault="009454EF">
      <w:pPr>
        <w:spacing w:after="234"/>
        <w:ind w:left="1401" w:hanging="566"/>
      </w:pPr>
      <w:r>
        <w:t xml:space="preserve">4.3 Tenderer’s proposed methodology must be fully costed in the manner set out in paragraph 17. </w:t>
      </w:r>
    </w:p>
    <w:p w14:paraId="4F632E1A" w14:textId="77777777" w:rsidR="009454EF" w:rsidRDefault="009454EF">
      <w:pPr>
        <w:spacing w:after="0" w:line="259" w:lineRule="auto"/>
        <w:ind w:left="1416"/>
      </w:pPr>
      <w:r>
        <w:t xml:space="preserve"> </w:t>
      </w:r>
    </w:p>
    <w:p w14:paraId="2AEC78CF" w14:textId="77777777" w:rsidR="009454EF" w:rsidRDefault="009454EF">
      <w:pPr>
        <w:pStyle w:val="Heading3"/>
        <w:spacing w:after="0"/>
        <w:ind w:left="1078"/>
      </w:pPr>
      <w:r>
        <w:t xml:space="preserve">Methodology </w:t>
      </w:r>
    </w:p>
    <w:p w14:paraId="4CE35D1D" w14:textId="77777777" w:rsidR="009454EF" w:rsidRDefault="009454EF">
      <w:pPr>
        <w:spacing w:after="0" w:line="259" w:lineRule="auto"/>
        <w:ind w:left="1068"/>
      </w:pPr>
      <w:r>
        <w:rPr>
          <w:rFonts w:ascii="Arial" w:eastAsia="Arial" w:hAnsi="Arial" w:cs="Arial"/>
          <w:b/>
        </w:rPr>
        <w:t xml:space="preserve"> </w:t>
      </w:r>
    </w:p>
    <w:p w14:paraId="4977F90D" w14:textId="77777777" w:rsidR="009454EF" w:rsidRDefault="009454EF">
      <w:pPr>
        <w:spacing w:after="0"/>
        <w:ind w:left="1401" w:hanging="566"/>
      </w:pPr>
      <w:r>
        <w:t xml:space="preserve">4.4 A phased mixed methods approach is required for the research. A </w:t>
      </w:r>
      <w:proofErr w:type="spellStart"/>
      <w:r>
        <w:t>mixedmethod</w:t>
      </w:r>
      <w:proofErr w:type="spellEnd"/>
      <w:r>
        <w:t xml:space="preserve"> approach is needed to explore the reasons why some eligible parents are not claiming Child Benefit in considerable detail and depth whilst also providing key insight into the scale of any identified barriers. The research is to take place in three stages.  </w:t>
      </w:r>
    </w:p>
    <w:p w14:paraId="1A9A478F" w14:textId="77777777" w:rsidR="009454EF" w:rsidRDefault="009454EF">
      <w:pPr>
        <w:spacing w:after="0" w:line="259" w:lineRule="auto"/>
        <w:ind w:left="1416"/>
      </w:pPr>
      <w:r>
        <w:t xml:space="preserve"> </w:t>
      </w:r>
    </w:p>
    <w:p w14:paraId="2BB7F8A4" w14:textId="77777777" w:rsidR="009454EF" w:rsidRDefault="009454EF">
      <w:pPr>
        <w:spacing w:after="0"/>
        <w:ind w:left="1401" w:hanging="566"/>
      </w:pPr>
      <w:r>
        <w:t xml:space="preserve">4.5 Phase 1: The first stage will be small scale structured quantitative survey with 250 customers who delayed their Child Benefit claim. This will establish why customers did not claim Child Benefit straight away and any barriers that resulted in their delayed claim. In turn this will assist HMRC to understand how best to target communications and support claimants. </w:t>
      </w:r>
    </w:p>
    <w:p w14:paraId="4BCA6E30" w14:textId="77777777" w:rsidR="009454EF" w:rsidRDefault="009454EF">
      <w:pPr>
        <w:spacing w:after="2" w:line="259" w:lineRule="auto"/>
        <w:ind w:left="1416"/>
      </w:pPr>
      <w:r>
        <w:t xml:space="preserve"> </w:t>
      </w:r>
    </w:p>
    <w:p w14:paraId="2FF213A3" w14:textId="77777777" w:rsidR="009454EF" w:rsidRDefault="009454EF">
      <w:pPr>
        <w:spacing w:after="0"/>
        <w:ind w:left="1401" w:hanging="566"/>
      </w:pPr>
      <w:r>
        <w:t xml:space="preserve">4.6 Phase 2: A large scale structured survey of non-claimants of Child Benefit will be used to explore the research questions outlined above amongst a representative sample </w:t>
      </w:r>
      <w:r>
        <w:lastRenderedPageBreak/>
        <w:t xml:space="preserve">of eligible Child Benefit customers. Adopting this approach will allow findings to be generalised across the wider population. </w:t>
      </w:r>
    </w:p>
    <w:p w14:paraId="74E812C7" w14:textId="77777777" w:rsidR="009454EF" w:rsidRDefault="009454EF">
      <w:pPr>
        <w:spacing w:after="15"/>
        <w:ind w:left="1426"/>
      </w:pPr>
      <w:r>
        <w:t xml:space="preserve">Between 750-1,000 surveys are to be conducted. </w:t>
      </w:r>
    </w:p>
    <w:p w14:paraId="06254FD6" w14:textId="77777777" w:rsidR="009454EF" w:rsidRDefault="009454EF">
      <w:pPr>
        <w:spacing w:after="7" w:line="259" w:lineRule="auto"/>
        <w:ind w:left="1416"/>
      </w:pPr>
      <w:r>
        <w:t xml:space="preserve"> </w:t>
      </w:r>
      <w:r>
        <w:tab/>
        <w:t xml:space="preserve"> </w:t>
      </w:r>
    </w:p>
    <w:p w14:paraId="60747BD0" w14:textId="77777777" w:rsidR="009454EF" w:rsidRDefault="009454EF">
      <w:pPr>
        <w:spacing w:after="0"/>
        <w:ind w:left="1401" w:hanging="566"/>
      </w:pPr>
      <w:r>
        <w:t xml:space="preserve">4.7 Phase 3: 40 depth interviews with non-claimants are to be conducted to provide detail and depth as well as key insight into identified barriers to claiming Child Benefit. This phase will examine customers’ attitudes, experiences, and behaviours (as well as the triggers and barriers that may contribute to these).  </w:t>
      </w:r>
    </w:p>
    <w:p w14:paraId="6FBEC7CE" w14:textId="77777777" w:rsidR="009454EF" w:rsidRDefault="009454EF">
      <w:pPr>
        <w:spacing w:after="0" w:line="259" w:lineRule="auto"/>
        <w:ind w:left="708"/>
      </w:pPr>
      <w:r>
        <w:t xml:space="preserve"> </w:t>
      </w:r>
    </w:p>
    <w:p w14:paraId="05042399" w14:textId="77777777" w:rsidR="009454EF" w:rsidRDefault="009454EF">
      <w:pPr>
        <w:pStyle w:val="Heading3"/>
        <w:spacing w:after="0"/>
        <w:ind w:left="1078"/>
      </w:pPr>
      <w:r>
        <w:t xml:space="preserve">Sampling </w:t>
      </w:r>
    </w:p>
    <w:p w14:paraId="0AD65E81" w14:textId="77777777" w:rsidR="009454EF" w:rsidRDefault="009454EF">
      <w:pPr>
        <w:spacing w:after="0" w:line="259" w:lineRule="auto"/>
        <w:ind w:left="708"/>
      </w:pPr>
      <w:r>
        <w:t xml:space="preserve"> </w:t>
      </w:r>
    </w:p>
    <w:p w14:paraId="5CF43DFF" w14:textId="77777777" w:rsidR="009454EF" w:rsidRDefault="009454EF">
      <w:pPr>
        <w:spacing w:after="0"/>
        <w:ind w:left="1274" w:hanging="566"/>
      </w:pPr>
      <w:r>
        <w:t xml:space="preserve">4.8 Phase 1: HMRC will provide a sample of current Child Benefit customers who delayed making a claim by more than 3 months. This will include some customers liable for HICBC. Furthermore, this sample will be split into two groups of those who delayed up to a year and those who delayed over a year. Name and address will be provided, but no telephone numbers. We suggest the supplier tele matches the sample to obtain contact details. We have a sample of around 40k that can be provided incrementally until the required surveys are completed.   </w:t>
      </w:r>
    </w:p>
    <w:p w14:paraId="20FB5640" w14:textId="77777777" w:rsidR="009454EF" w:rsidRDefault="009454EF">
      <w:pPr>
        <w:spacing w:after="0" w:line="259" w:lineRule="auto"/>
        <w:ind w:left="720"/>
      </w:pPr>
      <w:r>
        <w:t xml:space="preserve"> </w:t>
      </w:r>
    </w:p>
    <w:p w14:paraId="65289D54" w14:textId="77777777" w:rsidR="009454EF" w:rsidRDefault="009454EF">
      <w:pPr>
        <w:spacing w:after="0"/>
        <w:ind w:left="1274" w:hanging="566"/>
      </w:pPr>
      <w:r>
        <w:t xml:space="preserve">4.9 Phase 2: HMRC will supply a sample of individuals who are eligible for Child Benefit but have not claimed. To do so, we will match our Child Benefit admin data against birth records. This will produce a sample of parents eligible for Child Benefit who are not current claiming Child Benefit. This sample will not have telephone numbers; therefore, we require the contractor to run a </w:t>
      </w:r>
      <w:proofErr w:type="spellStart"/>
      <w:r>
        <w:t>telematching</w:t>
      </w:r>
      <w:proofErr w:type="spellEnd"/>
      <w:r>
        <w:t xml:space="preserve"> exercise. We have a sample of 100k+ to pull from, so can provide sample incrementally until 750-1,000 interviews are completed.  </w:t>
      </w:r>
    </w:p>
    <w:p w14:paraId="622895AD" w14:textId="77777777" w:rsidR="009454EF" w:rsidRDefault="009454EF">
      <w:pPr>
        <w:spacing w:after="0" w:line="259" w:lineRule="auto"/>
        <w:ind w:left="720"/>
      </w:pPr>
      <w:r>
        <w:t xml:space="preserve"> </w:t>
      </w:r>
    </w:p>
    <w:p w14:paraId="4A02F8D8" w14:textId="77777777" w:rsidR="009454EF" w:rsidRDefault="009454EF">
      <w:pPr>
        <w:spacing w:after="0"/>
        <w:ind w:left="718"/>
      </w:pPr>
      <w:r>
        <w:t xml:space="preserve">4.10 Phase 3: we propose the contractor recruits from phase 2 participants.   </w:t>
      </w:r>
    </w:p>
    <w:p w14:paraId="6F115EFE" w14:textId="77777777" w:rsidR="009454EF" w:rsidRDefault="009454EF">
      <w:pPr>
        <w:spacing w:after="0" w:line="259" w:lineRule="auto"/>
        <w:ind w:left="720"/>
      </w:pPr>
      <w:r>
        <w:t xml:space="preserve"> </w:t>
      </w:r>
    </w:p>
    <w:p w14:paraId="08761F07" w14:textId="77777777" w:rsidR="009454EF" w:rsidRDefault="009454EF">
      <w:pPr>
        <w:spacing w:after="0" w:line="259" w:lineRule="auto"/>
        <w:ind w:left="720"/>
      </w:pPr>
      <w:r>
        <w:t xml:space="preserve"> </w:t>
      </w:r>
    </w:p>
    <w:p w14:paraId="3691009F" w14:textId="77777777" w:rsidR="009454EF" w:rsidRDefault="009454EF">
      <w:pPr>
        <w:pStyle w:val="Heading3"/>
        <w:spacing w:after="240"/>
        <w:ind w:left="1078"/>
      </w:pPr>
      <w:r>
        <w:t>Data processing and analysis</w:t>
      </w:r>
      <w:r>
        <w:rPr>
          <w:b w:val="0"/>
        </w:rPr>
        <w:t xml:space="preserve"> </w:t>
      </w:r>
    </w:p>
    <w:p w14:paraId="73D1ACA0" w14:textId="77777777" w:rsidR="009454EF" w:rsidRDefault="009454EF">
      <w:pPr>
        <w:ind w:left="1274" w:hanging="708"/>
      </w:pPr>
      <w:r>
        <w:t xml:space="preserve">4.11 Tenderers must present their proposed approach for data capture and processing, as well as a brief analysis plan. </w:t>
      </w:r>
    </w:p>
    <w:p w14:paraId="4DD8604C" w14:textId="77777777" w:rsidR="009454EF" w:rsidRDefault="009454EF">
      <w:pPr>
        <w:spacing w:after="2" w:line="259" w:lineRule="auto"/>
        <w:ind w:left="708"/>
      </w:pPr>
      <w:r>
        <w:t xml:space="preserve"> </w:t>
      </w:r>
    </w:p>
    <w:p w14:paraId="00F32C4A" w14:textId="77777777" w:rsidR="009454EF" w:rsidRDefault="009454EF">
      <w:pPr>
        <w:spacing w:after="0"/>
        <w:ind w:left="1274" w:hanging="566"/>
      </w:pPr>
      <w:r>
        <w:t xml:space="preserve">4.12 All materials sent to addresses in Wales must include a Welsh language version. We also ask that, if requested, surveys </w:t>
      </w:r>
      <w:proofErr w:type="gramStart"/>
      <w:r>
        <w:t>are able to</w:t>
      </w:r>
      <w:proofErr w:type="gramEnd"/>
      <w:r>
        <w:t xml:space="preserve"> be carried out in Welsh. </w:t>
      </w:r>
    </w:p>
    <w:p w14:paraId="0BF6BCD9" w14:textId="77777777" w:rsidR="009454EF" w:rsidRDefault="009454EF">
      <w:pPr>
        <w:spacing w:after="0" w:line="259" w:lineRule="auto"/>
        <w:ind w:left="720"/>
      </w:pPr>
      <w:r>
        <w:t xml:space="preserve"> </w:t>
      </w:r>
    </w:p>
    <w:p w14:paraId="13B77986" w14:textId="77777777" w:rsidR="009454EF" w:rsidRDefault="009454EF">
      <w:pPr>
        <w:pStyle w:val="Heading3"/>
        <w:spacing w:after="0"/>
        <w:ind w:left="1078"/>
      </w:pPr>
      <w:r>
        <w:t>Materials development</w:t>
      </w:r>
      <w:r>
        <w:rPr>
          <w:b w:val="0"/>
        </w:rPr>
        <w:t xml:space="preserve"> </w:t>
      </w:r>
    </w:p>
    <w:p w14:paraId="00BDBA80" w14:textId="77777777" w:rsidR="009454EF" w:rsidRDefault="009454EF">
      <w:pPr>
        <w:spacing w:after="0" w:line="259" w:lineRule="auto"/>
        <w:ind w:left="720"/>
      </w:pPr>
      <w:r>
        <w:t xml:space="preserve"> </w:t>
      </w:r>
    </w:p>
    <w:p w14:paraId="09A86DCC" w14:textId="77777777" w:rsidR="009454EF" w:rsidRDefault="009454EF">
      <w:pPr>
        <w:spacing w:after="0"/>
        <w:ind w:left="1274" w:hanging="708"/>
      </w:pPr>
      <w:r>
        <w:t xml:space="preserve">4.13 HMRC anticipates that the survey will require a cognitive testing and pilot phase to test how effectively the questionnaire is screening in the required participants. This will </w:t>
      </w:r>
      <w:r>
        <w:lastRenderedPageBreak/>
        <w:t xml:space="preserve">verify that participants can answer the questions sufficiently, as well as identifying a preliminary incidence rate. </w:t>
      </w:r>
    </w:p>
    <w:p w14:paraId="1D88EA2A" w14:textId="77777777" w:rsidR="009454EF" w:rsidRDefault="009454EF">
      <w:pPr>
        <w:spacing w:after="0" w:line="259" w:lineRule="auto"/>
        <w:ind w:left="566"/>
      </w:pPr>
      <w:r>
        <w:t xml:space="preserve"> </w:t>
      </w:r>
    </w:p>
    <w:p w14:paraId="288C19B0" w14:textId="77777777" w:rsidR="009454EF" w:rsidRDefault="009454EF">
      <w:pPr>
        <w:spacing w:after="0"/>
        <w:ind w:left="1274" w:hanging="708"/>
      </w:pPr>
      <w:r>
        <w:t xml:space="preserve">4.14 Tenderers should outline how they will ensure this can be achieved within the timeframe outlined below, to derive maximum value from this exercise and develop suitable strategies to overcome emerging issues at this stage. </w:t>
      </w:r>
    </w:p>
    <w:p w14:paraId="21C232E8" w14:textId="77777777" w:rsidR="009454EF" w:rsidRDefault="009454EF">
      <w:pPr>
        <w:spacing w:after="0" w:line="259" w:lineRule="auto"/>
        <w:ind w:left="566"/>
      </w:pPr>
      <w:r>
        <w:t xml:space="preserve"> </w:t>
      </w:r>
    </w:p>
    <w:p w14:paraId="3227AA13" w14:textId="77777777" w:rsidR="009454EF" w:rsidRDefault="009454EF">
      <w:pPr>
        <w:spacing w:after="0" w:line="259" w:lineRule="auto"/>
        <w:ind w:left="566"/>
      </w:pPr>
      <w:r>
        <w:t xml:space="preserve"> </w:t>
      </w:r>
    </w:p>
    <w:p w14:paraId="36B472CB" w14:textId="77777777" w:rsidR="009454EF" w:rsidRDefault="009454EF">
      <w:pPr>
        <w:ind w:left="1274" w:hanging="708"/>
      </w:pPr>
      <w:r>
        <w:t xml:space="preserve">4.15 HMRC will input and advise on suitable screening questions to determine whether questions sufficiently identify the contractual arrangements required to meet the research aims.  </w:t>
      </w:r>
    </w:p>
    <w:p w14:paraId="43A4B20F" w14:textId="77777777" w:rsidR="009454EF" w:rsidRDefault="009454EF">
      <w:pPr>
        <w:spacing w:after="179" w:line="259" w:lineRule="auto"/>
        <w:ind w:left="566"/>
      </w:pPr>
      <w:r>
        <w:t xml:space="preserve"> </w:t>
      </w:r>
    </w:p>
    <w:p w14:paraId="204FBAE6" w14:textId="77777777" w:rsidR="009454EF" w:rsidRDefault="009454EF">
      <w:pPr>
        <w:pStyle w:val="Heading2"/>
        <w:tabs>
          <w:tab w:val="center" w:pos="633"/>
          <w:tab w:val="center" w:pos="1836"/>
        </w:tabs>
        <w:spacing w:after="189"/>
      </w:pPr>
      <w:bookmarkStart w:id="78" w:name="_Toc25003"/>
      <w:r>
        <w:rPr>
          <w:rFonts w:ascii="Calibri" w:eastAsia="Calibri" w:hAnsi="Calibri" w:cs="Calibri"/>
          <w:b w:val="0"/>
          <w:sz w:val="22"/>
        </w:rPr>
        <w:tab/>
      </w:r>
      <w:r>
        <w:t xml:space="preserve">5 </w:t>
      </w:r>
      <w:r>
        <w:tab/>
        <w:t xml:space="preserve">Timetable </w:t>
      </w:r>
      <w:bookmarkEnd w:id="78"/>
    </w:p>
    <w:p w14:paraId="2DC1CE0A" w14:textId="77777777" w:rsidR="009454EF" w:rsidRDefault="009454EF">
      <w:pPr>
        <w:spacing w:after="95"/>
        <w:ind w:left="1274" w:hanging="708"/>
      </w:pPr>
      <w:r>
        <w:t xml:space="preserve">5.1 </w:t>
      </w:r>
      <w:r>
        <w:tab/>
        <w:t xml:space="preserve">The timeline provided below is indicative of the timelines expected by HMRC. Tenderers are required to demonstrate in their tenders that they will be able to complete the research within the below timelines or sooner. </w:t>
      </w:r>
    </w:p>
    <w:p w14:paraId="7F0A3038" w14:textId="77777777" w:rsidR="009454EF" w:rsidRDefault="009454EF">
      <w:pPr>
        <w:spacing w:after="0" w:line="259" w:lineRule="auto"/>
        <w:ind w:left="1416"/>
      </w:pPr>
      <w:r>
        <w:t xml:space="preserve"> </w:t>
      </w:r>
    </w:p>
    <w:tbl>
      <w:tblPr>
        <w:tblStyle w:val="TableGrid0"/>
        <w:tblW w:w="8251" w:type="dxa"/>
        <w:tblInd w:w="713" w:type="dxa"/>
        <w:tblCellMar>
          <w:top w:w="174" w:type="dxa"/>
          <w:left w:w="108" w:type="dxa"/>
          <w:right w:w="115" w:type="dxa"/>
        </w:tblCellMar>
        <w:tblLook w:val="04A0" w:firstRow="1" w:lastRow="0" w:firstColumn="1" w:lastColumn="0" w:noHBand="0" w:noVBand="1"/>
      </w:tblPr>
      <w:tblGrid>
        <w:gridCol w:w="4125"/>
        <w:gridCol w:w="4126"/>
      </w:tblGrid>
      <w:tr w:rsidR="009454EF" w14:paraId="342CD2FE" w14:textId="77777777">
        <w:trPr>
          <w:trHeight w:val="526"/>
        </w:trPr>
        <w:tc>
          <w:tcPr>
            <w:tcW w:w="4126" w:type="dxa"/>
            <w:tcBorders>
              <w:top w:val="single" w:sz="4" w:space="0" w:color="000000"/>
              <w:left w:val="single" w:sz="4" w:space="0" w:color="000000"/>
              <w:bottom w:val="single" w:sz="4" w:space="0" w:color="000000"/>
              <w:right w:val="single" w:sz="4" w:space="0" w:color="000000"/>
            </w:tcBorders>
            <w:vAlign w:val="center"/>
          </w:tcPr>
          <w:p w14:paraId="44E8C556" w14:textId="77777777" w:rsidR="009454EF" w:rsidRDefault="009454EF">
            <w:pPr>
              <w:spacing w:line="259" w:lineRule="auto"/>
            </w:pPr>
            <w:r>
              <w:rPr>
                <w:rFonts w:ascii="Arial" w:eastAsia="Arial" w:hAnsi="Arial" w:cs="Arial"/>
                <w:b/>
              </w:rPr>
              <w:t xml:space="preserve">Activity </w:t>
            </w:r>
          </w:p>
        </w:tc>
        <w:tc>
          <w:tcPr>
            <w:tcW w:w="4126" w:type="dxa"/>
            <w:tcBorders>
              <w:top w:val="single" w:sz="4" w:space="0" w:color="000000"/>
              <w:left w:val="single" w:sz="4" w:space="0" w:color="000000"/>
              <w:bottom w:val="single" w:sz="4" w:space="0" w:color="000000"/>
              <w:right w:val="single" w:sz="4" w:space="0" w:color="000000"/>
            </w:tcBorders>
            <w:vAlign w:val="center"/>
          </w:tcPr>
          <w:p w14:paraId="30E74AC9" w14:textId="77777777" w:rsidR="009454EF" w:rsidRDefault="009454EF">
            <w:pPr>
              <w:spacing w:line="259" w:lineRule="auto"/>
            </w:pPr>
            <w:r>
              <w:rPr>
                <w:rFonts w:ascii="Arial" w:eastAsia="Arial" w:hAnsi="Arial" w:cs="Arial"/>
                <w:b/>
              </w:rPr>
              <w:t xml:space="preserve">Date </w:t>
            </w:r>
          </w:p>
        </w:tc>
      </w:tr>
      <w:tr w:rsidR="009454EF" w14:paraId="3F107C9B" w14:textId="77777777">
        <w:trPr>
          <w:trHeight w:val="526"/>
        </w:trPr>
        <w:tc>
          <w:tcPr>
            <w:tcW w:w="4126" w:type="dxa"/>
            <w:tcBorders>
              <w:top w:val="single" w:sz="4" w:space="0" w:color="000000"/>
              <w:left w:val="single" w:sz="4" w:space="0" w:color="000000"/>
              <w:bottom w:val="single" w:sz="4" w:space="0" w:color="000000"/>
              <w:right w:val="single" w:sz="4" w:space="0" w:color="000000"/>
            </w:tcBorders>
            <w:vAlign w:val="center"/>
          </w:tcPr>
          <w:p w14:paraId="36A7292C" w14:textId="77777777" w:rsidR="009454EF" w:rsidRDefault="009454EF">
            <w:pPr>
              <w:spacing w:line="259" w:lineRule="auto"/>
            </w:pPr>
            <w:r>
              <w:t xml:space="preserve">Deadline for queries on ITT  </w:t>
            </w:r>
          </w:p>
        </w:tc>
        <w:tc>
          <w:tcPr>
            <w:tcW w:w="4126" w:type="dxa"/>
            <w:tcBorders>
              <w:top w:val="single" w:sz="4" w:space="0" w:color="000000"/>
              <w:left w:val="single" w:sz="4" w:space="0" w:color="000000"/>
              <w:bottom w:val="single" w:sz="4" w:space="0" w:color="000000"/>
              <w:right w:val="single" w:sz="4" w:space="0" w:color="000000"/>
            </w:tcBorders>
            <w:vAlign w:val="center"/>
          </w:tcPr>
          <w:p w14:paraId="45E36117" w14:textId="77777777" w:rsidR="009454EF" w:rsidRDefault="009454EF">
            <w:pPr>
              <w:spacing w:line="259" w:lineRule="auto"/>
            </w:pPr>
            <w:r>
              <w:t>Wednesday 5</w:t>
            </w:r>
            <w:r>
              <w:rPr>
                <w:vertAlign w:val="superscript"/>
              </w:rPr>
              <w:t>th</w:t>
            </w:r>
            <w:r>
              <w:t xml:space="preserve"> October </w:t>
            </w:r>
          </w:p>
        </w:tc>
      </w:tr>
      <w:tr w:rsidR="009454EF" w14:paraId="3ED05796" w14:textId="77777777">
        <w:trPr>
          <w:trHeight w:val="526"/>
        </w:trPr>
        <w:tc>
          <w:tcPr>
            <w:tcW w:w="4126" w:type="dxa"/>
            <w:tcBorders>
              <w:top w:val="single" w:sz="4" w:space="0" w:color="000000"/>
              <w:left w:val="single" w:sz="4" w:space="0" w:color="000000"/>
              <w:bottom w:val="single" w:sz="4" w:space="0" w:color="000000"/>
              <w:right w:val="single" w:sz="4" w:space="0" w:color="000000"/>
            </w:tcBorders>
            <w:vAlign w:val="center"/>
          </w:tcPr>
          <w:p w14:paraId="76892A8F" w14:textId="77777777" w:rsidR="009454EF" w:rsidRDefault="009454EF">
            <w:pPr>
              <w:spacing w:line="259" w:lineRule="auto"/>
            </w:pPr>
            <w:r>
              <w:t xml:space="preserve">HMRC response to ITT queries </w:t>
            </w:r>
          </w:p>
        </w:tc>
        <w:tc>
          <w:tcPr>
            <w:tcW w:w="4126" w:type="dxa"/>
            <w:tcBorders>
              <w:top w:val="single" w:sz="4" w:space="0" w:color="000000"/>
              <w:left w:val="single" w:sz="4" w:space="0" w:color="000000"/>
              <w:bottom w:val="single" w:sz="4" w:space="0" w:color="000000"/>
              <w:right w:val="single" w:sz="4" w:space="0" w:color="000000"/>
            </w:tcBorders>
            <w:vAlign w:val="center"/>
          </w:tcPr>
          <w:p w14:paraId="0732B181" w14:textId="77777777" w:rsidR="009454EF" w:rsidRDefault="009454EF">
            <w:pPr>
              <w:spacing w:line="259" w:lineRule="auto"/>
            </w:pPr>
            <w:r>
              <w:t>Friday 7</w:t>
            </w:r>
            <w:r>
              <w:rPr>
                <w:vertAlign w:val="superscript"/>
              </w:rPr>
              <w:t>th</w:t>
            </w:r>
            <w:r>
              <w:t xml:space="preserve"> October </w:t>
            </w:r>
          </w:p>
        </w:tc>
      </w:tr>
      <w:tr w:rsidR="009454EF" w14:paraId="20914462" w14:textId="77777777">
        <w:trPr>
          <w:trHeight w:val="526"/>
        </w:trPr>
        <w:tc>
          <w:tcPr>
            <w:tcW w:w="4126" w:type="dxa"/>
            <w:tcBorders>
              <w:top w:val="single" w:sz="4" w:space="0" w:color="000000"/>
              <w:left w:val="single" w:sz="4" w:space="0" w:color="000000"/>
              <w:bottom w:val="single" w:sz="4" w:space="0" w:color="000000"/>
              <w:right w:val="single" w:sz="4" w:space="0" w:color="000000"/>
            </w:tcBorders>
            <w:vAlign w:val="center"/>
          </w:tcPr>
          <w:p w14:paraId="59BCF865" w14:textId="77777777" w:rsidR="009454EF" w:rsidRDefault="009454EF">
            <w:pPr>
              <w:spacing w:line="259" w:lineRule="auto"/>
            </w:pPr>
            <w:r>
              <w:rPr>
                <w:rFonts w:ascii="Arial" w:eastAsia="Arial" w:hAnsi="Arial" w:cs="Arial"/>
                <w:b/>
              </w:rPr>
              <w:t xml:space="preserve">Deadline for response to ITT </w:t>
            </w:r>
          </w:p>
        </w:tc>
        <w:tc>
          <w:tcPr>
            <w:tcW w:w="4126" w:type="dxa"/>
            <w:tcBorders>
              <w:top w:val="single" w:sz="4" w:space="0" w:color="000000"/>
              <w:left w:val="single" w:sz="4" w:space="0" w:color="000000"/>
              <w:bottom w:val="single" w:sz="4" w:space="0" w:color="000000"/>
              <w:right w:val="single" w:sz="4" w:space="0" w:color="000000"/>
            </w:tcBorders>
            <w:vAlign w:val="center"/>
          </w:tcPr>
          <w:p w14:paraId="419231E7" w14:textId="77777777" w:rsidR="009454EF" w:rsidRDefault="009454EF">
            <w:pPr>
              <w:spacing w:line="259" w:lineRule="auto"/>
            </w:pPr>
            <w:r>
              <w:t>Tuesday 18</w:t>
            </w:r>
            <w:r>
              <w:rPr>
                <w:vertAlign w:val="superscript"/>
              </w:rPr>
              <w:t>th</w:t>
            </w:r>
            <w:r>
              <w:t xml:space="preserve"> October </w:t>
            </w:r>
          </w:p>
        </w:tc>
      </w:tr>
      <w:tr w:rsidR="009454EF" w14:paraId="2A239261" w14:textId="77777777">
        <w:trPr>
          <w:trHeight w:val="526"/>
        </w:trPr>
        <w:tc>
          <w:tcPr>
            <w:tcW w:w="4126" w:type="dxa"/>
            <w:tcBorders>
              <w:top w:val="single" w:sz="4" w:space="0" w:color="000000"/>
              <w:left w:val="single" w:sz="4" w:space="0" w:color="000000"/>
              <w:bottom w:val="single" w:sz="4" w:space="0" w:color="000000"/>
              <w:right w:val="single" w:sz="4" w:space="0" w:color="000000"/>
            </w:tcBorders>
            <w:vAlign w:val="center"/>
          </w:tcPr>
          <w:p w14:paraId="7FF938CB" w14:textId="77777777" w:rsidR="009454EF" w:rsidRDefault="009454EF">
            <w:pPr>
              <w:spacing w:line="259" w:lineRule="auto"/>
            </w:pPr>
            <w:r>
              <w:t xml:space="preserve">Contract awarded  </w:t>
            </w:r>
          </w:p>
        </w:tc>
        <w:tc>
          <w:tcPr>
            <w:tcW w:w="4126" w:type="dxa"/>
            <w:tcBorders>
              <w:top w:val="single" w:sz="4" w:space="0" w:color="000000"/>
              <w:left w:val="single" w:sz="4" w:space="0" w:color="000000"/>
              <w:bottom w:val="single" w:sz="4" w:space="0" w:color="000000"/>
              <w:right w:val="single" w:sz="4" w:space="0" w:color="000000"/>
            </w:tcBorders>
            <w:vAlign w:val="center"/>
          </w:tcPr>
          <w:p w14:paraId="1704B1BE" w14:textId="77777777" w:rsidR="009454EF" w:rsidRDefault="009454EF">
            <w:pPr>
              <w:spacing w:line="259" w:lineRule="auto"/>
            </w:pPr>
            <w:r>
              <w:t xml:space="preserve">w/c 31st October 2022 </w:t>
            </w:r>
          </w:p>
        </w:tc>
      </w:tr>
      <w:tr w:rsidR="009454EF" w14:paraId="4B429E6B" w14:textId="77777777">
        <w:trPr>
          <w:trHeight w:val="526"/>
        </w:trPr>
        <w:tc>
          <w:tcPr>
            <w:tcW w:w="4126" w:type="dxa"/>
            <w:tcBorders>
              <w:top w:val="single" w:sz="4" w:space="0" w:color="000000"/>
              <w:left w:val="single" w:sz="4" w:space="0" w:color="000000"/>
              <w:bottom w:val="single" w:sz="4" w:space="0" w:color="000000"/>
              <w:right w:val="single" w:sz="4" w:space="0" w:color="000000"/>
            </w:tcBorders>
            <w:vAlign w:val="center"/>
          </w:tcPr>
          <w:p w14:paraId="31B34A3D" w14:textId="77777777" w:rsidR="009454EF" w:rsidRDefault="009454EF">
            <w:pPr>
              <w:spacing w:line="259" w:lineRule="auto"/>
            </w:pPr>
            <w:r>
              <w:t xml:space="preserve">Set-up meeting </w:t>
            </w:r>
          </w:p>
        </w:tc>
        <w:tc>
          <w:tcPr>
            <w:tcW w:w="4126" w:type="dxa"/>
            <w:tcBorders>
              <w:top w:val="single" w:sz="4" w:space="0" w:color="000000"/>
              <w:left w:val="single" w:sz="4" w:space="0" w:color="000000"/>
              <w:bottom w:val="single" w:sz="4" w:space="0" w:color="000000"/>
              <w:right w:val="single" w:sz="4" w:space="0" w:color="000000"/>
            </w:tcBorders>
            <w:vAlign w:val="center"/>
          </w:tcPr>
          <w:p w14:paraId="4633C613" w14:textId="77777777" w:rsidR="009454EF" w:rsidRDefault="009454EF">
            <w:pPr>
              <w:spacing w:line="259" w:lineRule="auto"/>
            </w:pPr>
            <w:r>
              <w:t>w/c 7</w:t>
            </w:r>
            <w:r>
              <w:rPr>
                <w:vertAlign w:val="superscript"/>
              </w:rPr>
              <w:t>th</w:t>
            </w:r>
            <w:r>
              <w:t xml:space="preserve"> November 2022 </w:t>
            </w:r>
          </w:p>
        </w:tc>
      </w:tr>
      <w:tr w:rsidR="009454EF" w14:paraId="5A6B1906" w14:textId="77777777">
        <w:trPr>
          <w:trHeight w:val="528"/>
        </w:trPr>
        <w:tc>
          <w:tcPr>
            <w:tcW w:w="4126" w:type="dxa"/>
            <w:tcBorders>
              <w:top w:val="single" w:sz="4" w:space="0" w:color="000000"/>
              <w:left w:val="single" w:sz="4" w:space="0" w:color="000000"/>
              <w:bottom w:val="single" w:sz="4" w:space="0" w:color="000000"/>
              <w:right w:val="single" w:sz="4" w:space="0" w:color="000000"/>
            </w:tcBorders>
            <w:vAlign w:val="center"/>
          </w:tcPr>
          <w:p w14:paraId="55C44EB4" w14:textId="77777777" w:rsidR="009454EF" w:rsidRDefault="009454EF">
            <w:pPr>
              <w:spacing w:line="259" w:lineRule="auto"/>
            </w:pPr>
            <w:r>
              <w:t xml:space="preserve">Initial survey design (phase 1&amp;2) </w:t>
            </w:r>
          </w:p>
        </w:tc>
        <w:tc>
          <w:tcPr>
            <w:tcW w:w="4126" w:type="dxa"/>
            <w:tcBorders>
              <w:top w:val="single" w:sz="4" w:space="0" w:color="000000"/>
              <w:left w:val="single" w:sz="4" w:space="0" w:color="000000"/>
              <w:bottom w:val="single" w:sz="4" w:space="0" w:color="000000"/>
              <w:right w:val="single" w:sz="4" w:space="0" w:color="000000"/>
            </w:tcBorders>
            <w:vAlign w:val="center"/>
          </w:tcPr>
          <w:p w14:paraId="670C3571" w14:textId="77777777" w:rsidR="009454EF" w:rsidRDefault="009454EF">
            <w:pPr>
              <w:spacing w:line="259" w:lineRule="auto"/>
            </w:pPr>
            <w:r>
              <w:t xml:space="preserve">November/December 2022 </w:t>
            </w:r>
          </w:p>
        </w:tc>
      </w:tr>
      <w:tr w:rsidR="009454EF" w14:paraId="2B21D604" w14:textId="77777777">
        <w:trPr>
          <w:trHeight w:val="526"/>
        </w:trPr>
        <w:tc>
          <w:tcPr>
            <w:tcW w:w="4126" w:type="dxa"/>
            <w:tcBorders>
              <w:top w:val="single" w:sz="4" w:space="0" w:color="000000"/>
              <w:left w:val="single" w:sz="4" w:space="0" w:color="000000"/>
              <w:bottom w:val="single" w:sz="4" w:space="0" w:color="000000"/>
              <w:right w:val="single" w:sz="4" w:space="0" w:color="000000"/>
            </w:tcBorders>
            <w:vAlign w:val="center"/>
          </w:tcPr>
          <w:p w14:paraId="59ABE760" w14:textId="77777777" w:rsidR="009454EF" w:rsidRDefault="009454EF">
            <w:pPr>
              <w:spacing w:line="259" w:lineRule="auto"/>
            </w:pPr>
            <w:r>
              <w:t xml:space="preserve">Cognitive testing and pilot stage </w:t>
            </w:r>
          </w:p>
        </w:tc>
        <w:tc>
          <w:tcPr>
            <w:tcW w:w="4126" w:type="dxa"/>
            <w:tcBorders>
              <w:top w:val="single" w:sz="4" w:space="0" w:color="000000"/>
              <w:left w:val="single" w:sz="4" w:space="0" w:color="000000"/>
              <w:bottom w:val="single" w:sz="4" w:space="0" w:color="000000"/>
              <w:right w:val="single" w:sz="4" w:space="0" w:color="000000"/>
            </w:tcBorders>
            <w:vAlign w:val="center"/>
          </w:tcPr>
          <w:p w14:paraId="32D832CE" w14:textId="77777777" w:rsidR="009454EF" w:rsidRDefault="009454EF">
            <w:pPr>
              <w:spacing w:line="259" w:lineRule="auto"/>
            </w:pPr>
            <w:r>
              <w:t xml:space="preserve">January 2023 </w:t>
            </w:r>
          </w:p>
        </w:tc>
      </w:tr>
      <w:tr w:rsidR="009454EF" w14:paraId="6A23DEB6" w14:textId="77777777">
        <w:trPr>
          <w:trHeight w:val="526"/>
        </w:trPr>
        <w:tc>
          <w:tcPr>
            <w:tcW w:w="4126" w:type="dxa"/>
            <w:tcBorders>
              <w:top w:val="single" w:sz="4" w:space="0" w:color="000000"/>
              <w:left w:val="single" w:sz="4" w:space="0" w:color="000000"/>
              <w:bottom w:val="single" w:sz="4" w:space="0" w:color="000000"/>
              <w:right w:val="single" w:sz="4" w:space="0" w:color="000000"/>
            </w:tcBorders>
            <w:vAlign w:val="center"/>
          </w:tcPr>
          <w:p w14:paraId="4C1C0E60" w14:textId="77777777" w:rsidR="009454EF" w:rsidRDefault="009454EF">
            <w:pPr>
              <w:spacing w:line="259" w:lineRule="auto"/>
            </w:pPr>
            <w:r>
              <w:t xml:space="preserve">Quantitative Fieldwork – Phase 1 </w:t>
            </w:r>
          </w:p>
        </w:tc>
        <w:tc>
          <w:tcPr>
            <w:tcW w:w="4126" w:type="dxa"/>
            <w:tcBorders>
              <w:top w:val="single" w:sz="4" w:space="0" w:color="000000"/>
              <w:left w:val="single" w:sz="4" w:space="0" w:color="000000"/>
              <w:bottom w:val="single" w:sz="4" w:space="0" w:color="000000"/>
              <w:right w:val="single" w:sz="4" w:space="0" w:color="000000"/>
            </w:tcBorders>
            <w:vAlign w:val="center"/>
          </w:tcPr>
          <w:p w14:paraId="6B60582E" w14:textId="77777777" w:rsidR="009454EF" w:rsidRDefault="009454EF">
            <w:pPr>
              <w:spacing w:line="259" w:lineRule="auto"/>
            </w:pPr>
            <w:r>
              <w:t xml:space="preserve">February 2023 </w:t>
            </w:r>
          </w:p>
        </w:tc>
      </w:tr>
      <w:tr w:rsidR="009454EF" w14:paraId="37C34B14" w14:textId="77777777">
        <w:trPr>
          <w:trHeight w:val="526"/>
        </w:trPr>
        <w:tc>
          <w:tcPr>
            <w:tcW w:w="4126" w:type="dxa"/>
            <w:tcBorders>
              <w:top w:val="single" w:sz="4" w:space="0" w:color="000000"/>
              <w:left w:val="single" w:sz="4" w:space="0" w:color="000000"/>
              <w:bottom w:val="single" w:sz="4" w:space="0" w:color="000000"/>
              <w:right w:val="single" w:sz="4" w:space="0" w:color="000000"/>
            </w:tcBorders>
            <w:vAlign w:val="center"/>
          </w:tcPr>
          <w:p w14:paraId="7D23CBA6" w14:textId="77777777" w:rsidR="009454EF" w:rsidRDefault="009454EF">
            <w:pPr>
              <w:spacing w:line="259" w:lineRule="auto"/>
            </w:pPr>
            <w:r>
              <w:t xml:space="preserve">Quantitative Fieldwork – Phase 2 </w:t>
            </w:r>
          </w:p>
        </w:tc>
        <w:tc>
          <w:tcPr>
            <w:tcW w:w="4126" w:type="dxa"/>
            <w:tcBorders>
              <w:top w:val="single" w:sz="4" w:space="0" w:color="000000"/>
              <w:left w:val="single" w:sz="4" w:space="0" w:color="000000"/>
              <w:bottom w:val="single" w:sz="4" w:space="0" w:color="000000"/>
              <w:right w:val="single" w:sz="4" w:space="0" w:color="000000"/>
            </w:tcBorders>
            <w:vAlign w:val="center"/>
          </w:tcPr>
          <w:p w14:paraId="61488FD8" w14:textId="77777777" w:rsidR="009454EF" w:rsidRDefault="009454EF">
            <w:pPr>
              <w:spacing w:line="259" w:lineRule="auto"/>
            </w:pPr>
            <w:r>
              <w:t xml:space="preserve">March/April 2023 </w:t>
            </w:r>
          </w:p>
        </w:tc>
      </w:tr>
      <w:tr w:rsidR="009454EF" w14:paraId="4354A21E" w14:textId="77777777">
        <w:trPr>
          <w:trHeight w:val="802"/>
        </w:trPr>
        <w:tc>
          <w:tcPr>
            <w:tcW w:w="4126" w:type="dxa"/>
            <w:tcBorders>
              <w:top w:val="single" w:sz="4" w:space="0" w:color="000000"/>
              <w:left w:val="single" w:sz="4" w:space="0" w:color="000000"/>
              <w:bottom w:val="single" w:sz="4" w:space="0" w:color="000000"/>
              <w:right w:val="single" w:sz="4" w:space="0" w:color="000000"/>
            </w:tcBorders>
            <w:vAlign w:val="center"/>
          </w:tcPr>
          <w:p w14:paraId="5A241089" w14:textId="77777777" w:rsidR="009454EF" w:rsidRDefault="009454EF">
            <w:pPr>
              <w:spacing w:line="259" w:lineRule="auto"/>
            </w:pPr>
            <w:r>
              <w:lastRenderedPageBreak/>
              <w:t xml:space="preserve">Presentation of quantitative interim findings </w:t>
            </w:r>
          </w:p>
        </w:tc>
        <w:tc>
          <w:tcPr>
            <w:tcW w:w="4126" w:type="dxa"/>
            <w:tcBorders>
              <w:top w:val="single" w:sz="4" w:space="0" w:color="000000"/>
              <w:left w:val="single" w:sz="4" w:space="0" w:color="000000"/>
              <w:bottom w:val="single" w:sz="4" w:space="0" w:color="000000"/>
              <w:right w:val="single" w:sz="4" w:space="0" w:color="000000"/>
            </w:tcBorders>
          </w:tcPr>
          <w:p w14:paraId="349B428B" w14:textId="77777777" w:rsidR="009454EF" w:rsidRDefault="009454EF">
            <w:pPr>
              <w:spacing w:line="259" w:lineRule="auto"/>
            </w:pPr>
            <w:r>
              <w:t xml:space="preserve">April 2023 </w:t>
            </w:r>
          </w:p>
        </w:tc>
      </w:tr>
      <w:tr w:rsidR="009454EF" w14:paraId="7F7BB472" w14:textId="77777777">
        <w:trPr>
          <w:trHeight w:val="802"/>
        </w:trPr>
        <w:tc>
          <w:tcPr>
            <w:tcW w:w="4126" w:type="dxa"/>
            <w:tcBorders>
              <w:top w:val="single" w:sz="4" w:space="0" w:color="000000"/>
              <w:left w:val="single" w:sz="4" w:space="0" w:color="000000"/>
              <w:bottom w:val="single" w:sz="4" w:space="0" w:color="000000"/>
              <w:right w:val="single" w:sz="4" w:space="0" w:color="000000"/>
            </w:tcBorders>
            <w:vAlign w:val="center"/>
          </w:tcPr>
          <w:p w14:paraId="20DC27A6" w14:textId="77777777" w:rsidR="009454EF" w:rsidRDefault="009454EF">
            <w:pPr>
              <w:spacing w:line="259" w:lineRule="auto"/>
            </w:pPr>
            <w:r>
              <w:t xml:space="preserve">Phase 3: Qualitative research tools design </w:t>
            </w:r>
          </w:p>
        </w:tc>
        <w:tc>
          <w:tcPr>
            <w:tcW w:w="4126" w:type="dxa"/>
            <w:tcBorders>
              <w:top w:val="single" w:sz="4" w:space="0" w:color="000000"/>
              <w:left w:val="single" w:sz="4" w:space="0" w:color="000000"/>
              <w:bottom w:val="single" w:sz="4" w:space="0" w:color="000000"/>
              <w:right w:val="single" w:sz="4" w:space="0" w:color="000000"/>
            </w:tcBorders>
          </w:tcPr>
          <w:p w14:paraId="38E9E179" w14:textId="77777777" w:rsidR="009454EF" w:rsidRDefault="009454EF">
            <w:pPr>
              <w:spacing w:line="259" w:lineRule="auto"/>
            </w:pPr>
            <w:r>
              <w:t xml:space="preserve">April 2023 </w:t>
            </w:r>
          </w:p>
        </w:tc>
      </w:tr>
      <w:tr w:rsidR="009454EF" w14:paraId="1CD10BD4" w14:textId="77777777">
        <w:trPr>
          <w:trHeight w:val="528"/>
        </w:trPr>
        <w:tc>
          <w:tcPr>
            <w:tcW w:w="4126" w:type="dxa"/>
            <w:tcBorders>
              <w:top w:val="single" w:sz="4" w:space="0" w:color="000000"/>
              <w:left w:val="single" w:sz="4" w:space="0" w:color="000000"/>
              <w:bottom w:val="single" w:sz="4" w:space="0" w:color="000000"/>
              <w:right w:val="single" w:sz="4" w:space="0" w:color="000000"/>
            </w:tcBorders>
            <w:vAlign w:val="center"/>
          </w:tcPr>
          <w:p w14:paraId="47C68348" w14:textId="77777777" w:rsidR="009454EF" w:rsidRDefault="009454EF">
            <w:pPr>
              <w:spacing w:line="259" w:lineRule="auto"/>
            </w:pPr>
            <w:r>
              <w:t xml:space="preserve">Qualitative fieldwork </w:t>
            </w:r>
          </w:p>
        </w:tc>
        <w:tc>
          <w:tcPr>
            <w:tcW w:w="4126" w:type="dxa"/>
            <w:tcBorders>
              <w:top w:val="single" w:sz="4" w:space="0" w:color="000000"/>
              <w:left w:val="single" w:sz="4" w:space="0" w:color="000000"/>
              <w:bottom w:val="single" w:sz="4" w:space="0" w:color="000000"/>
              <w:right w:val="single" w:sz="4" w:space="0" w:color="000000"/>
            </w:tcBorders>
            <w:vAlign w:val="center"/>
          </w:tcPr>
          <w:p w14:paraId="25A74364" w14:textId="77777777" w:rsidR="009454EF" w:rsidRDefault="009454EF">
            <w:pPr>
              <w:spacing w:line="259" w:lineRule="auto"/>
            </w:pPr>
            <w:r>
              <w:t xml:space="preserve">May 2023 </w:t>
            </w:r>
          </w:p>
        </w:tc>
      </w:tr>
      <w:tr w:rsidR="009454EF" w14:paraId="54564B35" w14:textId="77777777">
        <w:trPr>
          <w:trHeight w:val="526"/>
        </w:trPr>
        <w:tc>
          <w:tcPr>
            <w:tcW w:w="4126" w:type="dxa"/>
            <w:tcBorders>
              <w:top w:val="single" w:sz="4" w:space="0" w:color="000000"/>
              <w:left w:val="single" w:sz="4" w:space="0" w:color="000000"/>
              <w:bottom w:val="single" w:sz="4" w:space="0" w:color="000000"/>
              <w:right w:val="single" w:sz="4" w:space="0" w:color="000000"/>
            </w:tcBorders>
            <w:vAlign w:val="center"/>
          </w:tcPr>
          <w:p w14:paraId="1ABF75D8" w14:textId="77777777" w:rsidR="009454EF" w:rsidRDefault="009454EF">
            <w:pPr>
              <w:spacing w:line="259" w:lineRule="auto"/>
            </w:pPr>
            <w:r>
              <w:t xml:space="preserve">Presentation of findings </w:t>
            </w:r>
          </w:p>
        </w:tc>
        <w:tc>
          <w:tcPr>
            <w:tcW w:w="4126" w:type="dxa"/>
            <w:tcBorders>
              <w:top w:val="single" w:sz="4" w:space="0" w:color="000000"/>
              <w:left w:val="single" w:sz="4" w:space="0" w:color="000000"/>
              <w:bottom w:val="single" w:sz="4" w:space="0" w:color="000000"/>
              <w:right w:val="single" w:sz="4" w:space="0" w:color="000000"/>
            </w:tcBorders>
            <w:vAlign w:val="center"/>
          </w:tcPr>
          <w:p w14:paraId="3E18B14A" w14:textId="77777777" w:rsidR="009454EF" w:rsidRDefault="009454EF">
            <w:pPr>
              <w:spacing w:line="259" w:lineRule="auto"/>
            </w:pPr>
            <w:r>
              <w:t xml:space="preserve">June 2023 </w:t>
            </w:r>
          </w:p>
        </w:tc>
      </w:tr>
      <w:tr w:rsidR="009454EF" w14:paraId="39385CB6" w14:textId="77777777">
        <w:trPr>
          <w:trHeight w:val="802"/>
        </w:trPr>
        <w:tc>
          <w:tcPr>
            <w:tcW w:w="4126" w:type="dxa"/>
            <w:tcBorders>
              <w:top w:val="single" w:sz="4" w:space="0" w:color="000000"/>
              <w:left w:val="single" w:sz="4" w:space="0" w:color="000000"/>
              <w:bottom w:val="single" w:sz="4" w:space="0" w:color="000000"/>
              <w:right w:val="single" w:sz="4" w:space="0" w:color="000000"/>
            </w:tcBorders>
            <w:vAlign w:val="center"/>
          </w:tcPr>
          <w:p w14:paraId="0D901C9B" w14:textId="77777777" w:rsidR="009454EF" w:rsidRDefault="009454EF">
            <w:pPr>
              <w:spacing w:line="259" w:lineRule="auto"/>
            </w:pPr>
            <w:r>
              <w:t xml:space="preserve">Final outputs signed </w:t>
            </w:r>
            <w:proofErr w:type="gramStart"/>
            <w:r>
              <w:t>off,</w:t>
            </w:r>
            <w:proofErr w:type="gramEnd"/>
            <w:r>
              <w:t xml:space="preserve"> project close </w:t>
            </w:r>
          </w:p>
        </w:tc>
        <w:tc>
          <w:tcPr>
            <w:tcW w:w="4126" w:type="dxa"/>
            <w:tcBorders>
              <w:top w:val="single" w:sz="4" w:space="0" w:color="000000"/>
              <w:left w:val="single" w:sz="4" w:space="0" w:color="000000"/>
              <w:bottom w:val="single" w:sz="4" w:space="0" w:color="000000"/>
              <w:right w:val="single" w:sz="4" w:space="0" w:color="000000"/>
            </w:tcBorders>
          </w:tcPr>
          <w:p w14:paraId="6CA60C72" w14:textId="77777777" w:rsidR="009454EF" w:rsidRDefault="009454EF">
            <w:pPr>
              <w:spacing w:line="259" w:lineRule="auto"/>
            </w:pPr>
            <w:r>
              <w:t xml:space="preserve">July 2023 </w:t>
            </w:r>
          </w:p>
        </w:tc>
      </w:tr>
    </w:tbl>
    <w:p w14:paraId="42499027" w14:textId="77777777" w:rsidR="009454EF" w:rsidRDefault="009454EF">
      <w:pPr>
        <w:spacing w:after="0" w:line="361" w:lineRule="auto"/>
        <w:ind w:left="1274" w:hanging="708"/>
      </w:pPr>
      <w:r>
        <w:t xml:space="preserve">5.2 The successful Supplier will be expected to attend a set-up meeting in the week commencing 7th November 2022.  </w:t>
      </w:r>
    </w:p>
    <w:p w14:paraId="1B2C0070" w14:textId="77777777" w:rsidR="009454EF" w:rsidRDefault="009454EF">
      <w:pPr>
        <w:spacing w:after="21" w:line="259" w:lineRule="auto"/>
        <w:ind w:left="1274"/>
      </w:pPr>
      <w:r>
        <w:t xml:space="preserve"> </w:t>
      </w:r>
    </w:p>
    <w:p w14:paraId="02197B1E" w14:textId="77777777" w:rsidR="009454EF" w:rsidRDefault="009454EF">
      <w:pPr>
        <w:spacing w:line="368" w:lineRule="auto"/>
        <w:ind w:left="1274" w:hanging="708"/>
      </w:pPr>
      <w:r>
        <w:t xml:space="preserve">5.3 </w:t>
      </w:r>
      <w:r>
        <w:tab/>
        <w:t xml:space="preserve">All stages of the project must be completed by July 2023. Tenderers must demonstrate that they can meet this deadline.  </w:t>
      </w:r>
    </w:p>
    <w:p w14:paraId="2694EABE" w14:textId="77777777" w:rsidR="009454EF" w:rsidRDefault="009454EF">
      <w:pPr>
        <w:spacing w:after="235" w:line="259" w:lineRule="auto"/>
        <w:ind w:left="1416"/>
      </w:pPr>
      <w:r>
        <w:t xml:space="preserve"> </w:t>
      </w:r>
    </w:p>
    <w:p w14:paraId="39FE4162" w14:textId="77777777" w:rsidR="009454EF" w:rsidRDefault="009454EF">
      <w:pPr>
        <w:pStyle w:val="Heading2"/>
        <w:ind w:left="703"/>
      </w:pPr>
      <w:bookmarkStart w:id="79" w:name="_Toc25004"/>
      <w:r>
        <w:t xml:space="preserve">6 Length of Contract </w:t>
      </w:r>
      <w:bookmarkEnd w:id="79"/>
    </w:p>
    <w:p w14:paraId="6A1F2C95" w14:textId="77777777" w:rsidR="009454EF" w:rsidRDefault="009454EF">
      <w:pPr>
        <w:spacing w:after="0" w:line="259" w:lineRule="auto"/>
        <w:ind w:left="1428"/>
      </w:pPr>
      <w:r>
        <w:rPr>
          <w:rFonts w:ascii="Arial" w:eastAsia="Arial" w:hAnsi="Arial" w:cs="Arial"/>
          <w:b/>
        </w:rPr>
        <w:t xml:space="preserve"> </w:t>
      </w:r>
    </w:p>
    <w:p w14:paraId="48FE441E" w14:textId="77777777" w:rsidR="009454EF" w:rsidRDefault="009454EF">
      <w:pPr>
        <w:spacing w:after="0"/>
        <w:ind w:left="1401" w:hanging="566"/>
      </w:pPr>
      <w:r>
        <w:t xml:space="preserve">6.1 All stages of the contract must be completed by November 2023. Tenderers should state if they can meet this deadline but can also suggest alternative timetables with an accompanying justification.  </w:t>
      </w:r>
    </w:p>
    <w:p w14:paraId="5D8813A1" w14:textId="77777777" w:rsidR="009454EF" w:rsidRDefault="009454EF">
      <w:pPr>
        <w:spacing w:after="158" w:line="259" w:lineRule="auto"/>
        <w:ind w:left="1416"/>
      </w:pPr>
      <w:r>
        <w:t xml:space="preserve"> </w:t>
      </w:r>
    </w:p>
    <w:p w14:paraId="4865F46F" w14:textId="77777777" w:rsidR="009454EF" w:rsidRDefault="009454EF">
      <w:pPr>
        <w:pStyle w:val="Heading2"/>
        <w:ind w:left="703"/>
      </w:pPr>
      <w:bookmarkStart w:id="80" w:name="_Toc25005"/>
      <w:r>
        <w:t xml:space="preserve">7 Outputs  </w:t>
      </w:r>
      <w:bookmarkEnd w:id="80"/>
    </w:p>
    <w:p w14:paraId="0A5F2437" w14:textId="77777777" w:rsidR="009454EF" w:rsidRDefault="009454EF">
      <w:pPr>
        <w:spacing w:after="0" w:line="259" w:lineRule="auto"/>
        <w:ind w:left="1428"/>
      </w:pPr>
      <w:r>
        <w:rPr>
          <w:rFonts w:ascii="Arial" w:eastAsia="Arial" w:hAnsi="Arial" w:cs="Arial"/>
          <w:b/>
        </w:rPr>
        <w:t xml:space="preserve"> </w:t>
      </w:r>
    </w:p>
    <w:p w14:paraId="7EFCF5F1" w14:textId="77777777" w:rsidR="009454EF" w:rsidRDefault="009454EF">
      <w:pPr>
        <w:spacing w:after="0"/>
        <w:ind w:left="845"/>
      </w:pPr>
      <w:r>
        <w:t xml:space="preserve">7.1 The Supplier must deliver the following outputs: </w:t>
      </w:r>
    </w:p>
    <w:p w14:paraId="497425F2" w14:textId="77777777" w:rsidR="009454EF" w:rsidRDefault="009454EF" w:rsidP="009454EF">
      <w:pPr>
        <w:numPr>
          <w:ilvl w:val="0"/>
          <w:numId w:val="7"/>
        </w:numPr>
        <w:spacing w:after="0" w:line="265" w:lineRule="auto"/>
        <w:ind w:hanging="360"/>
      </w:pPr>
      <w:r>
        <w:t xml:space="preserve">A detailed project plan outlining key dates and milestones, clearly indicating any actions for HMRC. </w:t>
      </w:r>
    </w:p>
    <w:p w14:paraId="07E09773" w14:textId="77777777" w:rsidR="009454EF" w:rsidRDefault="009454EF" w:rsidP="009454EF">
      <w:pPr>
        <w:numPr>
          <w:ilvl w:val="0"/>
          <w:numId w:val="7"/>
        </w:numPr>
        <w:spacing w:after="0" w:line="265" w:lineRule="auto"/>
        <w:ind w:hanging="360"/>
      </w:pPr>
      <w:r>
        <w:t xml:space="preserve">A set up meeting with the agency and key HMRC stakeholders before the project begins.  </w:t>
      </w:r>
    </w:p>
    <w:p w14:paraId="4E1EC4C8" w14:textId="77777777" w:rsidR="009454EF" w:rsidRDefault="009454EF" w:rsidP="009454EF">
      <w:pPr>
        <w:numPr>
          <w:ilvl w:val="0"/>
          <w:numId w:val="7"/>
        </w:numPr>
        <w:spacing w:after="0" w:line="265" w:lineRule="auto"/>
        <w:ind w:hanging="360"/>
      </w:pPr>
      <w:r>
        <w:t xml:space="preserve">Regular progress updates to HMRC. </w:t>
      </w:r>
    </w:p>
    <w:p w14:paraId="0D701ABB" w14:textId="77777777" w:rsidR="009454EF" w:rsidRDefault="009454EF" w:rsidP="009454EF">
      <w:pPr>
        <w:numPr>
          <w:ilvl w:val="0"/>
          <w:numId w:val="7"/>
        </w:numPr>
        <w:spacing w:after="0" w:line="265" w:lineRule="auto"/>
        <w:ind w:hanging="360"/>
      </w:pPr>
      <w:r>
        <w:t xml:space="preserve">Agreed versions of all research instruments </w:t>
      </w:r>
      <w:proofErr w:type="gramStart"/>
      <w:r>
        <w:t>e.g.</w:t>
      </w:r>
      <w:proofErr w:type="gramEnd"/>
      <w:r>
        <w:t xml:space="preserve"> survey questionnaire and supporting material which will be used for the quantitative research, including the option to carry out survey in Welsh.  </w:t>
      </w:r>
    </w:p>
    <w:p w14:paraId="20BE24E5" w14:textId="77777777" w:rsidR="009454EF" w:rsidRDefault="009454EF" w:rsidP="009454EF">
      <w:pPr>
        <w:numPr>
          <w:ilvl w:val="0"/>
          <w:numId w:val="7"/>
        </w:numPr>
        <w:spacing w:after="0" w:line="265" w:lineRule="auto"/>
        <w:ind w:hanging="360"/>
      </w:pPr>
      <w:r>
        <w:t xml:space="preserve">Summary of findings from the pilot/cognitive testing stage. </w:t>
      </w:r>
    </w:p>
    <w:p w14:paraId="399A1812" w14:textId="77777777" w:rsidR="009454EF" w:rsidRDefault="009454EF" w:rsidP="009454EF">
      <w:pPr>
        <w:numPr>
          <w:ilvl w:val="0"/>
          <w:numId w:val="7"/>
        </w:numPr>
        <w:spacing w:after="0" w:line="265" w:lineRule="auto"/>
        <w:ind w:hanging="360"/>
      </w:pPr>
      <w:r>
        <w:t xml:space="preserve">Emerging findings slide deck for HMRC use only.  </w:t>
      </w:r>
    </w:p>
    <w:p w14:paraId="679A2AD3" w14:textId="77777777" w:rsidR="009454EF" w:rsidRDefault="009454EF" w:rsidP="009454EF">
      <w:pPr>
        <w:numPr>
          <w:ilvl w:val="0"/>
          <w:numId w:val="7"/>
        </w:numPr>
        <w:spacing w:after="0" w:line="265" w:lineRule="auto"/>
        <w:ind w:hanging="360"/>
      </w:pPr>
      <w:r>
        <w:lastRenderedPageBreak/>
        <w:t xml:space="preserve">Face-to-face or Microsoft Teams presentation from the research agency of the main findings from the research, with accompanying slide deck for HMRC use only. </w:t>
      </w:r>
    </w:p>
    <w:p w14:paraId="2069DB03" w14:textId="77777777" w:rsidR="009454EF" w:rsidRDefault="009454EF" w:rsidP="009454EF">
      <w:pPr>
        <w:numPr>
          <w:ilvl w:val="0"/>
          <w:numId w:val="7"/>
        </w:numPr>
        <w:spacing w:after="0" w:line="265" w:lineRule="auto"/>
        <w:ind w:hanging="360"/>
      </w:pPr>
      <w:r>
        <w:t xml:space="preserve">At the end of all phases HMRC require a fully accessible PDF or HTML summary report for publication purposes. Once the final report is signed-off, it will be published in line with the HMRC Freedom of Information publication scheme. </w:t>
      </w:r>
    </w:p>
    <w:p w14:paraId="1803CD52" w14:textId="77777777" w:rsidR="009454EF" w:rsidRDefault="009454EF">
      <w:pPr>
        <w:spacing w:after="160" w:line="259" w:lineRule="auto"/>
        <w:ind w:left="2126"/>
      </w:pPr>
      <w:r>
        <w:t xml:space="preserve">  </w:t>
      </w:r>
    </w:p>
    <w:p w14:paraId="64E88459" w14:textId="77777777" w:rsidR="009454EF" w:rsidRDefault="009454EF" w:rsidP="009454EF">
      <w:pPr>
        <w:numPr>
          <w:ilvl w:val="1"/>
          <w:numId w:val="8"/>
        </w:numPr>
        <w:spacing w:after="0" w:line="265" w:lineRule="auto"/>
        <w:ind w:hanging="566"/>
      </w:pPr>
      <w:r>
        <w:t>A complete dataset of results (compatible with SPSS), including weightings and accompanied by an appropriate data dictionary. All summaries, reports, data outputs (</w:t>
      </w:r>
      <w:proofErr w:type="gramStart"/>
      <w:r>
        <w:t>e.g.</w:t>
      </w:r>
      <w:proofErr w:type="gramEnd"/>
      <w:r>
        <w:t xml:space="preserve"> tables and graphs) and presentations should be provided in an electronic format, compatible with Microsoft Office applications. All presentations and reports should be concise and written in plain English. They should be of a high standard suitable for online publication. </w:t>
      </w:r>
    </w:p>
    <w:p w14:paraId="472A4810" w14:textId="77777777" w:rsidR="009454EF" w:rsidRDefault="009454EF">
      <w:pPr>
        <w:spacing w:after="0" w:line="259" w:lineRule="auto"/>
        <w:ind w:left="1416"/>
      </w:pPr>
      <w:r>
        <w:t xml:space="preserve"> </w:t>
      </w:r>
    </w:p>
    <w:p w14:paraId="3C1B5FB6" w14:textId="77777777" w:rsidR="009454EF" w:rsidRDefault="009454EF" w:rsidP="009454EF">
      <w:pPr>
        <w:numPr>
          <w:ilvl w:val="1"/>
          <w:numId w:val="8"/>
        </w:numPr>
        <w:spacing w:after="0" w:line="265" w:lineRule="auto"/>
        <w:ind w:hanging="566"/>
      </w:pPr>
      <w:r>
        <w:t xml:space="preserve">HMRC expects all drafts to be complete, to have been proof-read before delivery and for data in the drafts to have been quality assured. Tenderers should assume that reports, topic guides and presentation will require amendment </w:t>
      </w:r>
      <w:proofErr w:type="gramStart"/>
      <w:r>
        <w:t>in light of</w:t>
      </w:r>
      <w:proofErr w:type="gramEnd"/>
      <w:r>
        <w:t xml:space="preserve"> comments made by HMRC, and that </w:t>
      </w:r>
      <w:r>
        <w:rPr>
          <w:rFonts w:ascii="Arial" w:eastAsia="Arial" w:hAnsi="Arial" w:cs="Arial"/>
          <w:b/>
        </w:rPr>
        <w:t>at least</w:t>
      </w:r>
      <w:r>
        <w:t xml:space="preserve"> two drafts will normally be required before agreeing a final draft. Allowance should be made for this in the proposed timetable and costings for the research. </w:t>
      </w:r>
    </w:p>
    <w:p w14:paraId="0133910D" w14:textId="77777777" w:rsidR="009454EF" w:rsidRDefault="009454EF">
      <w:pPr>
        <w:spacing w:after="0" w:line="259" w:lineRule="auto"/>
        <w:ind w:left="1416"/>
      </w:pPr>
      <w:r>
        <w:t xml:space="preserve"> </w:t>
      </w:r>
    </w:p>
    <w:p w14:paraId="32506196" w14:textId="77777777" w:rsidR="009454EF" w:rsidRDefault="009454EF" w:rsidP="009454EF">
      <w:pPr>
        <w:numPr>
          <w:ilvl w:val="1"/>
          <w:numId w:val="8"/>
        </w:numPr>
        <w:spacing w:after="155" w:line="265" w:lineRule="auto"/>
        <w:ind w:hanging="566"/>
      </w:pPr>
      <w:r>
        <w:t xml:space="preserve">HMRC may arrange for any final reports produced to be peer-reviewed, either in-house or externally. </w:t>
      </w:r>
    </w:p>
    <w:p w14:paraId="50BC845E" w14:textId="77777777" w:rsidR="009454EF" w:rsidRDefault="009454EF">
      <w:pPr>
        <w:spacing w:after="0" w:line="259" w:lineRule="auto"/>
        <w:ind w:left="1416"/>
      </w:pPr>
      <w:r>
        <w:t xml:space="preserve"> </w:t>
      </w:r>
    </w:p>
    <w:p w14:paraId="6B2EFD6C" w14:textId="77777777" w:rsidR="009454EF" w:rsidRDefault="009454EF" w:rsidP="009454EF">
      <w:pPr>
        <w:numPr>
          <w:ilvl w:val="1"/>
          <w:numId w:val="8"/>
        </w:numPr>
        <w:spacing w:after="0" w:line="265" w:lineRule="auto"/>
        <w:ind w:hanging="566"/>
      </w:pPr>
      <w:r>
        <w:t xml:space="preserve">All materials sent to addresses in Wales must include a Welsh language version. We also ask that, if requested, surveys </w:t>
      </w:r>
      <w:proofErr w:type="gramStart"/>
      <w:r>
        <w:t>are able to</w:t>
      </w:r>
      <w:proofErr w:type="gramEnd"/>
      <w:r>
        <w:t xml:space="preserve"> be carried out in Welsh. </w:t>
      </w:r>
    </w:p>
    <w:p w14:paraId="04BD16B8" w14:textId="77777777" w:rsidR="009454EF" w:rsidRDefault="009454EF">
      <w:pPr>
        <w:spacing w:after="0" w:line="259" w:lineRule="auto"/>
        <w:ind w:left="1416"/>
      </w:pPr>
      <w:r>
        <w:t xml:space="preserve"> </w:t>
      </w:r>
    </w:p>
    <w:p w14:paraId="651D3555" w14:textId="77777777" w:rsidR="009454EF" w:rsidRDefault="009454EF" w:rsidP="009454EF">
      <w:pPr>
        <w:numPr>
          <w:ilvl w:val="1"/>
          <w:numId w:val="8"/>
        </w:numPr>
        <w:spacing w:after="155" w:line="265" w:lineRule="auto"/>
        <w:ind w:hanging="566"/>
      </w:pPr>
      <w:r>
        <w:t xml:space="preserve">Tenderers are also reminded that any research reports to be published on </w:t>
      </w:r>
      <w:hyperlink r:id="rId9">
        <w:r>
          <w:rPr>
            <w:color w:val="0563C1"/>
            <w:u w:val="single" w:color="0563C1"/>
          </w:rPr>
          <w:t>www.gov.uk</w:t>
        </w:r>
      </w:hyperlink>
      <w:hyperlink r:id="rId10">
        <w:r>
          <w:t xml:space="preserve"> </w:t>
        </w:r>
      </w:hyperlink>
      <w:r>
        <w:t xml:space="preserve">must meet the accessibility requirements for public sector bodies’ publications: </w:t>
      </w:r>
    </w:p>
    <w:p w14:paraId="2C93E954" w14:textId="77777777" w:rsidR="009454EF" w:rsidRDefault="009454EF">
      <w:pPr>
        <w:spacing w:after="0" w:line="259" w:lineRule="auto"/>
        <w:ind w:left="1428"/>
      </w:pPr>
      <w:hyperlink r:id="rId11" w:anchor="accessibility-standards">
        <w:r>
          <w:rPr>
            <w:color w:val="0563C1"/>
            <w:u w:val="single" w:color="0563C1"/>
          </w:rPr>
          <w:t>https://www.gov.uk/guidance/accessibility-requirements-for-public-sector</w:t>
        </w:r>
      </w:hyperlink>
      <w:hyperlink r:id="rId12" w:anchor="accessibility-standards">
        <w:r>
          <w:rPr>
            <w:color w:val="0563C1"/>
            <w:u w:val="single" w:color="0563C1"/>
          </w:rPr>
          <w:t>websites-and-apps#accessibility-standards</w:t>
        </w:r>
      </w:hyperlink>
      <w:hyperlink r:id="rId13" w:anchor="accessibility-standards">
        <w:r>
          <w:t xml:space="preserve"> </w:t>
        </w:r>
      </w:hyperlink>
    </w:p>
    <w:p w14:paraId="416B0120" w14:textId="77777777" w:rsidR="009454EF" w:rsidRDefault="009454EF">
      <w:pPr>
        <w:spacing w:after="160" w:line="259" w:lineRule="auto"/>
        <w:ind w:left="1428"/>
      </w:pPr>
      <w:r>
        <w:t xml:space="preserve"> </w:t>
      </w:r>
    </w:p>
    <w:p w14:paraId="4116F8A6" w14:textId="77777777" w:rsidR="009454EF" w:rsidRDefault="009454EF">
      <w:pPr>
        <w:pStyle w:val="Heading2"/>
        <w:ind w:left="703"/>
      </w:pPr>
      <w:bookmarkStart w:id="81" w:name="_Toc25006"/>
      <w:r>
        <w:t xml:space="preserve">8 Quality and Risk Management </w:t>
      </w:r>
      <w:bookmarkEnd w:id="81"/>
    </w:p>
    <w:p w14:paraId="294DD1D9" w14:textId="77777777" w:rsidR="009454EF" w:rsidRDefault="009454EF">
      <w:pPr>
        <w:spacing w:after="0"/>
        <w:ind w:left="1401" w:hanging="566"/>
      </w:pPr>
      <w:r>
        <w:t xml:space="preserve">8.1 Tenderers must include a project plan and time schedule for the work that identifies the main tasks and key milestones that will be used to monitor progress, indicating clearly where HMRC is expected to contribute.  </w:t>
      </w:r>
    </w:p>
    <w:p w14:paraId="297827A2" w14:textId="77777777" w:rsidR="009454EF" w:rsidRDefault="009454EF">
      <w:pPr>
        <w:spacing w:after="0" w:line="259" w:lineRule="auto"/>
        <w:ind w:left="1416"/>
      </w:pPr>
      <w:r>
        <w:t xml:space="preserve"> </w:t>
      </w:r>
    </w:p>
    <w:p w14:paraId="0195355E" w14:textId="77777777" w:rsidR="009454EF" w:rsidRDefault="009454EF">
      <w:pPr>
        <w:ind w:left="1401" w:hanging="566"/>
      </w:pPr>
      <w:r>
        <w:t xml:space="preserve">8.2 Tenderers must include a quality control plan with their proposal, which must demonstrate their internal procedures to assure quality control. </w:t>
      </w:r>
      <w:proofErr w:type="gramStart"/>
      <w:r>
        <w:t>In particular, this</w:t>
      </w:r>
      <w:proofErr w:type="gramEnd"/>
      <w:r>
        <w:t xml:space="preserve"> must include strategies for achieving a high response rate, strategies for managing </w:t>
      </w:r>
      <w:r>
        <w:lastRenderedPageBreak/>
        <w:t xml:space="preserve">any sensitivities of the project with respondents, monitoring of interviewer performance, securing reliable data from respondents, ensuring high standards in data analysis and ensuring final outputs meeting HMRC’s needs and research objectives.  </w:t>
      </w:r>
    </w:p>
    <w:p w14:paraId="542CFD83" w14:textId="77777777" w:rsidR="009454EF" w:rsidRDefault="009454EF">
      <w:pPr>
        <w:ind w:left="1401" w:hanging="566"/>
      </w:pPr>
      <w:r>
        <w:t xml:space="preserve">8.3 Tenders must also include an assessment of the key risks to this project. This should identify the most significant risks to successful completion of the programme of work, assess the degree of risk (likelihood and impact), and set out strategies for minimising these risks and managing the consequences if problems occur. A risk register template is attached.  </w:t>
      </w:r>
    </w:p>
    <w:p w14:paraId="5D06646E" w14:textId="77777777" w:rsidR="009454EF" w:rsidRDefault="009454EF">
      <w:pPr>
        <w:spacing w:after="158" w:line="259" w:lineRule="auto"/>
        <w:ind w:left="1416"/>
      </w:pPr>
      <w:r>
        <w:t xml:space="preserve"> </w:t>
      </w:r>
    </w:p>
    <w:p w14:paraId="5947AD18" w14:textId="77777777" w:rsidR="009454EF" w:rsidRDefault="009454EF">
      <w:pPr>
        <w:pStyle w:val="Heading2"/>
        <w:ind w:left="703"/>
      </w:pPr>
      <w:bookmarkStart w:id="82" w:name="_Toc25007"/>
      <w:r>
        <w:t xml:space="preserve">9 Expertise and Capability </w:t>
      </w:r>
      <w:bookmarkEnd w:id="82"/>
    </w:p>
    <w:p w14:paraId="2DC86975" w14:textId="77777777" w:rsidR="009454EF" w:rsidRDefault="009454EF">
      <w:pPr>
        <w:spacing w:after="0" w:line="259" w:lineRule="auto"/>
        <w:ind w:left="1428"/>
      </w:pPr>
      <w:r>
        <w:rPr>
          <w:rFonts w:ascii="Arial" w:eastAsia="Arial" w:hAnsi="Arial" w:cs="Arial"/>
          <w:b/>
        </w:rPr>
        <w:t xml:space="preserve"> </w:t>
      </w:r>
    </w:p>
    <w:p w14:paraId="7C826B04" w14:textId="77777777" w:rsidR="009454EF" w:rsidRDefault="009454EF">
      <w:pPr>
        <w:spacing w:after="0"/>
        <w:ind w:left="1401" w:hanging="566"/>
      </w:pPr>
      <w:r>
        <w:t xml:space="preserve">9.1 HMRC acknowledges that considerable resources are required for the successful delivery of this project to time. It is possible that agencies invited to tender have the skills and ability within their organisation to undertake all or part of this research but do not have sufficient resources required to successfully deliver the whole research requirement. We therefore encourage agencies to collaborate with other suppliers if required to ensure that they are fully capable of undertaking this work.   </w:t>
      </w:r>
    </w:p>
    <w:p w14:paraId="32507D87" w14:textId="77777777" w:rsidR="009454EF" w:rsidRDefault="009454EF">
      <w:pPr>
        <w:spacing w:after="0" w:line="259" w:lineRule="auto"/>
        <w:ind w:left="1416"/>
      </w:pPr>
      <w:r>
        <w:t xml:space="preserve"> </w:t>
      </w:r>
    </w:p>
    <w:p w14:paraId="54EC6E4C" w14:textId="77777777" w:rsidR="009454EF" w:rsidRDefault="009454EF">
      <w:pPr>
        <w:ind w:left="1401" w:hanging="566"/>
      </w:pPr>
      <w:r>
        <w:t xml:space="preserve">9.2 HMRC is looking for Tenderers who can demonstrate that their proposed team incorporates those with: </w:t>
      </w:r>
    </w:p>
    <w:p w14:paraId="0D5033AD" w14:textId="77777777" w:rsidR="009454EF" w:rsidRDefault="009454EF" w:rsidP="009454EF">
      <w:pPr>
        <w:numPr>
          <w:ilvl w:val="0"/>
          <w:numId w:val="9"/>
        </w:numPr>
        <w:spacing w:after="155" w:line="265" w:lineRule="auto"/>
        <w:ind w:hanging="360"/>
      </w:pPr>
      <w:r>
        <w:t xml:space="preserve">Experience of conducting quantitative telephone surveys with parents </w:t>
      </w:r>
    </w:p>
    <w:p w14:paraId="58DB340F" w14:textId="77777777" w:rsidR="009454EF" w:rsidRDefault="009454EF" w:rsidP="009454EF">
      <w:pPr>
        <w:numPr>
          <w:ilvl w:val="0"/>
          <w:numId w:val="9"/>
        </w:numPr>
        <w:spacing w:after="155" w:line="265" w:lineRule="auto"/>
        <w:ind w:hanging="360"/>
      </w:pPr>
      <w:r>
        <w:t xml:space="preserve">Experience of conducting depth interviews by virtual methods </w:t>
      </w:r>
    </w:p>
    <w:p w14:paraId="6C6916D6" w14:textId="77777777" w:rsidR="009454EF" w:rsidRDefault="009454EF" w:rsidP="009454EF">
      <w:pPr>
        <w:numPr>
          <w:ilvl w:val="0"/>
          <w:numId w:val="9"/>
        </w:numPr>
        <w:spacing w:after="155" w:line="265" w:lineRule="auto"/>
        <w:ind w:hanging="360"/>
      </w:pPr>
      <w:r>
        <w:t xml:space="preserve">Experience of conducting research and developing survey questionnaires around tax and benefit topics </w:t>
      </w:r>
    </w:p>
    <w:p w14:paraId="169E0575" w14:textId="77777777" w:rsidR="009454EF" w:rsidRDefault="009454EF" w:rsidP="009454EF">
      <w:pPr>
        <w:numPr>
          <w:ilvl w:val="0"/>
          <w:numId w:val="9"/>
        </w:numPr>
        <w:spacing w:after="155" w:line="265" w:lineRule="auto"/>
        <w:ind w:hanging="360"/>
      </w:pPr>
      <w:r>
        <w:t xml:space="preserve">Experience delivering the outputs </w:t>
      </w:r>
      <w:proofErr w:type="gramStart"/>
      <w:r>
        <w:t>required;</w:t>
      </w:r>
      <w:proofErr w:type="gramEnd"/>
      <w:r>
        <w:t xml:space="preserve">  </w:t>
      </w:r>
    </w:p>
    <w:p w14:paraId="47441AC4" w14:textId="77777777" w:rsidR="009454EF" w:rsidRDefault="009454EF" w:rsidP="009454EF">
      <w:pPr>
        <w:numPr>
          <w:ilvl w:val="1"/>
          <w:numId w:val="10"/>
        </w:numPr>
        <w:spacing w:after="155" w:line="265" w:lineRule="auto"/>
        <w:ind w:hanging="566"/>
      </w:pPr>
      <w:r>
        <w:t xml:space="preserve">Proposals should summarise the skills and expertise relevant to this requirement that </w:t>
      </w:r>
      <w:proofErr w:type="gramStart"/>
      <w:r>
        <w:t>particular members</w:t>
      </w:r>
      <w:proofErr w:type="gramEnd"/>
      <w:r>
        <w:t xml:space="preserve"> of staff bring to the team and clearly identify the project manager, with CVs included as an annex.  </w:t>
      </w:r>
    </w:p>
    <w:p w14:paraId="1AC3B310" w14:textId="77777777" w:rsidR="009454EF" w:rsidRDefault="009454EF" w:rsidP="009454EF">
      <w:pPr>
        <w:numPr>
          <w:ilvl w:val="1"/>
          <w:numId w:val="10"/>
        </w:numPr>
        <w:spacing w:after="155" w:line="265" w:lineRule="auto"/>
        <w:ind w:hanging="566"/>
      </w:pPr>
      <w:r>
        <w:t xml:space="preserve">The Tender should specify details of which parts (if any) of the project will be sub-contracted, the name of the sub-contractor who will work on the project, their experience of related research, and their responsibilities within the project. If it is proposed to sub-contract any of the work, the same details as those provided by the Tenderer should be given about the qualifications, experience and responsibilities of sub-contractor staff involved along with a description of their respective roles and the management arrangements put in place.  Ultimately, the successful Supplier will be held to account for the performance of any sub-contractor and needs to </w:t>
      </w:r>
      <w:r>
        <w:lastRenderedPageBreak/>
        <w:t xml:space="preserve">demonstrate their confidence to successfully manage sub-contractors. This should also be considered for any joint submissions, as the second Tenderer will be treated as a subcontractor. </w:t>
      </w:r>
    </w:p>
    <w:p w14:paraId="60B928D4" w14:textId="77777777" w:rsidR="009454EF" w:rsidRDefault="009454EF">
      <w:pPr>
        <w:spacing w:after="160" w:line="259" w:lineRule="auto"/>
        <w:ind w:left="1416"/>
      </w:pPr>
      <w:r>
        <w:t xml:space="preserve"> </w:t>
      </w:r>
    </w:p>
    <w:p w14:paraId="3A6039D0" w14:textId="77777777" w:rsidR="009454EF" w:rsidRDefault="009454EF">
      <w:pPr>
        <w:pStyle w:val="Heading2"/>
        <w:ind w:left="703"/>
      </w:pPr>
      <w:bookmarkStart w:id="83" w:name="_Toc25008"/>
      <w:r>
        <w:t xml:space="preserve">10 Project Management and Contract Administration </w:t>
      </w:r>
      <w:bookmarkEnd w:id="83"/>
    </w:p>
    <w:p w14:paraId="1896B084" w14:textId="77777777" w:rsidR="009454EF" w:rsidRDefault="009454EF">
      <w:pPr>
        <w:spacing w:after="0" w:line="259" w:lineRule="auto"/>
        <w:ind w:left="1428"/>
      </w:pPr>
      <w:r>
        <w:rPr>
          <w:rFonts w:ascii="Arial" w:eastAsia="Arial" w:hAnsi="Arial" w:cs="Arial"/>
          <w:b/>
        </w:rPr>
        <w:t xml:space="preserve"> </w:t>
      </w:r>
    </w:p>
    <w:p w14:paraId="67FE6429" w14:textId="77777777" w:rsidR="009454EF" w:rsidRDefault="009454EF">
      <w:pPr>
        <w:spacing w:after="0"/>
        <w:ind w:left="1401" w:hanging="566"/>
      </w:pPr>
      <w:r>
        <w:t xml:space="preserve">10.1 Howard Liley is HMRC Manager for this project. They will be responsible for the day-to-day management of the contract. Once the contract has been awarded, all contact with HMRC concerning the project should be made through them. The research organisation will be required to appoint a contract manager who will act as the principal point of contact for the Department. </w:t>
      </w:r>
    </w:p>
    <w:p w14:paraId="2555592E" w14:textId="77777777" w:rsidR="009454EF" w:rsidRDefault="009454EF">
      <w:pPr>
        <w:spacing w:after="0" w:line="259" w:lineRule="auto"/>
        <w:ind w:left="1416"/>
      </w:pPr>
      <w:r>
        <w:t xml:space="preserve"> </w:t>
      </w:r>
    </w:p>
    <w:p w14:paraId="564AFCD8" w14:textId="77777777" w:rsidR="009454EF" w:rsidRDefault="009454EF">
      <w:pPr>
        <w:ind w:left="1401" w:hanging="566"/>
      </w:pPr>
      <w:r>
        <w:t xml:space="preserve">10.2 The research organisation will be expected to work closely with the HMRC project manager and through them, with internal customers within HMRC throughout the duration of the contract. They must be kept informed of progress and be involved in key decisions. Proposed changes in project staffing (at all levels) or deviations from the agreed work programme must be discussed and agreed with the project manager in advance. Howard Liley is responsible for all decisions that involve funding.  </w:t>
      </w:r>
    </w:p>
    <w:p w14:paraId="15D2E115" w14:textId="77777777" w:rsidR="009454EF" w:rsidRDefault="009454EF">
      <w:pPr>
        <w:ind w:left="1401" w:hanging="566"/>
      </w:pPr>
      <w:r>
        <w:t xml:space="preserve">10.3 In costing your tender you must allow for attendance at a minimum of 4 meetings. Most meetings are expected to take place at HMRC offices or remotely, although some may take place at the research organisation’s premises by arrangement. These might include the following: </w:t>
      </w:r>
    </w:p>
    <w:p w14:paraId="5611AAB5" w14:textId="77777777" w:rsidR="009454EF" w:rsidRDefault="009454EF" w:rsidP="009454EF">
      <w:pPr>
        <w:numPr>
          <w:ilvl w:val="0"/>
          <w:numId w:val="11"/>
        </w:numPr>
        <w:spacing w:after="183" w:line="265" w:lineRule="auto"/>
        <w:ind w:hanging="710"/>
      </w:pPr>
      <w:r>
        <w:t xml:space="preserve">Project set-up </w:t>
      </w:r>
      <w:proofErr w:type="gramStart"/>
      <w:r>
        <w:t>meeting;</w:t>
      </w:r>
      <w:proofErr w:type="gramEnd"/>
      <w:r>
        <w:t xml:space="preserve"> </w:t>
      </w:r>
    </w:p>
    <w:p w14:paraId="7ECED7EA" w14:textId="77777777" w:rsidR="009454EF" w:rsidRDefault="009454EF" w:rsidP="009454EF">
      <w:pPr>
        <w:numPr>
          <w:ilvl w:val="0"/>
          <w:numId w:val="11"/>
        </w:numPr>
        <w:spacing w:after="175" w:line="265" w:lineRule="auto"/>
        <w:ind w:hanging="710"/>
      </w:pPr>
      <w:r>
        <w:t xml:space="preserve">A briefing to discuss the initial findings / ensure robustness of the research / assess the feasibility of continuing to the next stage (be clear whether this means you have a break clause); and </w:t>
      </w:r>
    </w:p>
    <w:p w14:paraId="603E1701" w14:textId="77777777" w:rsidR="009454EF" w:rsidRDefault="009454EF" w:rsidP="009454EF">
      <w:pPr>
        <w:numPr>
          <w:ilvl w:val="0"/>
          <w:numId w:val="11"/>
        </w:numPr>
        <w:spacing w:after="155" w:line="265" w:lineRule="auto"/>
        <w:ind w:hanging="710"/>
      </w:pPr>
      <w:r>
        <w:t xml:space="preserve">Presentation of key findings and final analysis. </w:t>
      </w:r>
    </w:p>
    <w:p w14:paraId="490569E3" w14:textId="77777777" w:rsidR="009454EF" w:rsidRDefault="009454EF">
      <w:pPr>
        <w:spacing w:after="160" w:line="259" w:lineRule="auto"/>
        <w:ind w:left="1416"/>
      </w:pPr>
      <w:r>
        <w:t xml:space="preserve"> </w:t>
      </w:r>
    </w:p>
    <w:p w14:paraId="6FBC1236" w14:textId="77777777" w:rsidR="009454EF" w:rsidRDefault="009454EF">
      <w:pPr>
        <w:pStyle w:val="Heading2"/>
        <w:ind w:left="703"/>
      </w:pPr>
      <w:bookmarkStart w:id="84" w:name="_Toc25009"/>
      <w:r>
        <w:t xml:space="preserve">11 Queries on this research specification </w:t>
      </w:r>
      <w:bookmarkEnd w:id="84"/>
    </w:p>
    <w:p w14:paraId="1D139F46" w14:textId="77777777" w:rsidR="009454EF" w:rsidRDefault="009454EF">
      <w:pPr>
        <w:spacing w:after="0" w:line="259" w:lineRule="auto"/>
        <w:ind w:left="1428"/>
      </w:pPr>
      <w:r>
        <w:rPr>
          <w:rFonts w:ascii="Arial" w:eastAsia="Arial" w:hAnsi="Arial" w:cs="Arial"/>
          <w:b/>
        </w:rPr>
        <w:t xml:space="preserve"> </w:t>
      </w:r>
    </w:p>
    <w:p w14:paraId="14D20B70" w14:textId="77777777" w:rsidR="009454EF" w:rsidRDefault="009454EF">
      <w:pPr>
        <w:spacing w:after="0"/>
        <w:ind w:left="1401" w:hanging="566"/>
      </w:pPr>
      <w:r>
        <w:t xml:space="preserve">11.1 Tenderers with any queries about the research specification should contact Howard Liley on </w:t>
      </w:r>
      <w:proofErr w:type="gramStart"/>
      <w:r>
        <w:t>e-mail:</w:t>
      </w:r>
      <w:r>
        <w:rPr>
          <w:color w:val="0563C1"/>
          <w:u w:val="single" w:color="0563C1"/>
        </w:rPr>
        <w:t>howard.liley@hmrc.gov.uk</w:t>
      </w:r>
      <w:proofErr w:type="gramEnd"/>
      <w:r>
        <w:t xml:space="preserve">. The deadline for queries is </w:t>
      </w:r>
    </w:p>
    <w:p w14:paraId="590D7458" w14:textId="77777777" w:rsidR="009454EF" w:rsidRDefault="009454EF">
      <w:pPr>
        <w:spacing w:after="22"/>
        <w:ind w:left="1426"/>
      </w:pPr>
      <w:r>
        <w:t>4 pm on Wednesday 5</w:t>
      </w:r>
      <w:r>
        <w:rPr>
          <w:vertAlign w:val="superscript"/>
        </w:rPr>
        <w:t>th</w:t>
      </w:r>
      <w:r>
        <w:t xml:space="preserve"> October 2022. Responses will be sent to all Tenderers Friday 7</w:t>
      </w:r>
      <w:r>
        <w:rPr>
          <w:vertAlign w:val="superscript"/>
        </w:rPr>
        <w:t>th</w:t>
      </w:r>
      <w:r>
        <w:t xml:space="preserve"> October 2022. </w:t>
      </w:r>
    </w:p>
    <w:p w14:paraId="743537B2" w14:textId="77777777" w:rsidR="009454EF" w:rsidRDefault="009454EF">
      <w:pPr>
        <w:spacing w:after="2" w:line="259" w:lineRule="auto"/>
        <w:ind w:left="1416"/>
      </w:pPr>
      <w:r>
        <w:t xml:space="preserve"> </w:t>
      </w:r>
    </w:p>
    <w:p w14:paraId="38A69ECD" w14:textId="77777777" w:rsidR="009454EF" w:rsidRDefault="009454EF">
      <w:pPr>
        <w:spacing w:after="232"/>
        <w:ind w:left="1401" w:hanging="566"/>
      </w:pPr>
      <w:r>
        <w:t xml:space="preserve">11.2 Please note that the responses to any queries will be shared with all tenderers. See 11.25 to 11.29 of the tender instructions for more information. </w:t>
      </w:r>
    </w:p>
    <w:p w14:paraId="6B26F11E" w14:textId="77777777" w:rsidR="009454EF" w:rsidRDefault="009454EF">
      <w:pPr>
        <w:pStyle w:val="Heading1"/>
        <w:spacing w:after="42"/>
        <w:ind w:left="703"/>
      </w:pPr>
      <w:bookmarkStart w:id="85" w:name="_Toc25010"/>
      <w:r>
        <w:rPr>
          <w:u w:val="single" w:color="000000"/>
        </w:rPr>
        <w:lastRenderedPageBreak/>
        <w:t>Submission of Tenders</w:t>
      </w:r>
      <w:r>
        <w:t xml:space="preserve"> </w:t>
      </w:r>
      <w:bookmarkEnd w:id="85"/>
    </w:p>
    <w:p w14:paraId="4FFCF326" w14:textId="77777777" w:rsidR="009454EF" w:rsidRDefault="009454EF">
      <w:pPr>
        <w:pStyle w:val="Heading2"/>
        <w:ind w:left="703"/>
      </w:pPr>
      <w:bookmarkStart w:id="86" w:name="_Toc25011"/>
      <w:r>
        <w:t xml:space="preserve">12 Information on how and when to return tenders </w:t>
      </w:r>
      <w:bookmarkEnd w:id="86"/>
    </w:p>
    <w:p w14:paraId="3608DE55" w14:textId="77777777" w:rsidR="009454EF" w:rsidRDefault="009454EF">
      <w:pPr>
        <w:ind w:left="1401" w:hanging="566"/>
      </w:pPr>
      <w:r>
        <w:t xml:space="preserve">12.1 Tenderers should provide notification of their intention to submit a Tender by email to Howard Liley on </w:t>
      </w:r>
      <w:r>
        <w:rPr>
          <w:color w:val="0563C1"/>
          <w:u w:val="single" w:color="0563C1"/>
        </w:rPr>
        <w:t>howard.liley@hmrc.gov.uk</w:t>
      </w:r>
      <w:r>
        <w:t xml:space="preserve"> by 4pm Wednesday 12</w:t>
      </w:r>
      <w:r>
        <w:rPr>
          <w:vertAlign w:val="superscript"/>
        </w:rPr>
        <w:t>th</w:t>
      </w:r>
      <w:r>
        <w:t xml:space="preserve"> October. </w:t>
      </w:r>
    </w:p>
    <w:p w14:paraId="0D464171" w14:textId="77777777" w:rsidR="009454EF" w:rsidRDefault="009454EF">
      <w:pPr>
        <w:spacing w:after="0"/>
        <w:ind w:left="1401" w:hanging="566"/>
      </w:pPr>
      <w:r>
        <w:t xml:space="preserve">12.2 You must send a PDF or read-only electronic copy of your Tender (excluding costs information which will be sent separately </w:t>
      </w:r>
      <w:r>
        <w:rPr>
          <w:rFonts w:ascii="Arial" w:eastAsia="Arial" w:hAnsi="Arial" w:cs="Arial"/>
          <w:i/>
        </w:rPr>
        <w:t>as an excel spreadsheet</w:t>
      </w:r>
      <w:r>
        <w:t xml:space="preserve"> as per 12.3) by e-mail to arrive at the following address </w:t>
      </w:r>
    </w:p>
    <w:p w14:paraId="5B49485E" w14:textId="77777777" w:rsidR="009454EF" w:rsidRDefault="009454EF">
      <w:pPr>
        <w:ind w:left="1426"/>
      </w:pPr>
      <w:r>
        <w:rPr>
          <w:color w:val="0563C1"/>
          <w:u w:val="single" w:color="0563C1"/>
        </w:rPr>
        <w:t>howard.liley@hmrc.gov.uk</w:t>
      </w:r>
      <w:r>
        <w:t xml:space="preserve"> and </w:t>
      </w:r>
      <w:r>
        <w:rPr>
          <w:color w:val="0563C1"/>
          <w:u w:val="single" w:color="0563C1"/>
        </w:rPr>
        <w:t>husain.akubat@hmrc.gov.uk</w:t>
      </w:r>
      <w:r>
        <w:t xml:space="preserve"> no later than 4pm on Tuesday 18</w:t>
      </w:r>
      <w:r>
        <w:rPr>
          <w:vertAlign w:val="superscript"/>
        </w:rPr>
        <w:t>th</w:t>
      </w:r>
      <w:r>
        <w:t xml:space="preserve"> October (unless the date is subsequently amended in writing by the Department). No hard copies of the tender are required.   </w:t>
      </w:r>
    </w:p>
    <w:p w14:paraId="256A2075" w14:textId="77777777" w:rsidR="009454EF" w:rsidRDefault="009454EF">
      <w:pPr>
        <w:spacing w:after="0"/>
        <w:ind w:left="1401" w:hanging="566"/>
      </w:pPr>
      <w:r>
        <w:t xml:space="preserve">12.3 Costs information should be submitted separately from the Tender to the following email address </w:t>
      </w:r>
      <w:r>
        <w:rPr>
          <w:color w:val="0563C1"/>
          <w:u w:val="single" w:color="0563C1"/>
        </w:rPr>
        <w:t>husain.akubat@hmrc.gov.uk</w:t>
      </w:r>
      <w:r>
        <w:t xml:space="preserve"> by the same time as stated in 12.2. You should not send the costs information to the named contact in 12.2. </w:t>
      </w:r>
    </w:p>
    <w:p w14:paraId="736BE7F7" w14:textId="77777777" w:rsidR="009454EF" w:rsidRDefault="009454EF">
      <w:pPr>
        <w:spacing w:after="0" w:line="259" w:lineRule="auto"/>
        <w:ind w:left="1416"/>
      </w:pPr>
      <w:r>
        <w:t xml:space="preserve"> </w:t>
      </w:r>
    </w:p>
    <w:p w14:paraId="0DAEE92B" w14:textId="77777777" w:rsidR="009454EF" w:rsidRDefault="009454EF">
      <w:pPr>
        <w:spacing w:after="0"/>
        <w:ind w:left="845"/>
      </w:pPr>
      <w:proofErr w:type="gramStart"/>
      <w:r>
        <w:t>12.4  Tenderers</w:t>
      </w:r>
      <w:proofErr w:type="gramEnd"/>
      <w:r>
        <w:t xml:space="preserve"> should note the following: </w:t>
      </w:r>
    </w:p>
    <w:tbl>
      <w:tblPr>
        <w:tblStyle w:val="TableGrid0"/>
        <w:tblW w:w="8071" w:type="dxa"/>
        <w:tblInd w:w="1424" w:type="dxa"/>
        <w:tblCellMar>
          <w:top w:w="54" w:type="dxa"/>
          <w:left w:w="104" w:type="dxa"/>
          <w:right w:w="115" w:type="dxa"/>
        </w:tblCellMar>
        <w:tblLook w:val="04A0" w:firstRow="1" w:lastRow="0" w:firstColumn="1" w:lastColumn="0" w:noHBand="0" w:noVBand="1"/>
      </w:tblPr>
      <w:tblGrid>
        <w:gridCol w:w="1979"/>
        <w:gridCol w:w="2124"/>
        <w:gridCol w:w="3968"/>
      </w:tblGrid>
      <w:tr w:rsidR="009454EF" w14:paraId="73DF61E2" w14:textId="77777777">
        <w:trPr>
          <w:trHeight w:val="283"/>
        </w:trPr>
        <w:tc>
          <w:tcPr>
            <w:tcW w:w="1979" w:type="dxa"/>
            <w:tcBorders>
              <w:top w:val="single" w:sz="4" w:space="0" w:color="000000"/>
              <w:left w:val="single" w:sz="4" w:space="0" w:color="000000"/>
              <w:bottom w:val="single" w:sz="4" w:space="0" w:color="000000"/>
              <w:right w:val="single" w:sz="4" w:space="0" w:color="000000"/>
            </w:tcBorders>
            <w:shd w:val="clear" w:color="auto" w:fill="008080"/>
          </w:tcPr>
          <w:p w14:paraId="0A33C29C" w14:textId="77777777" w:rsidR="009454EF" w:rsidRDefault="009454EF">
            <w:pPr>
              <w:spacing w:line="259" w:lineRule="auto"/>
            </w:pPr>
            <w:r>
              <w:rPr>
                <w:rFonts w:ascii="Arial" w:eastAsia="Arial" w:hAnsi="Arial" w:cs="Arial"/>
                <w:b/>
                <w:color w:val="FFFFFF"/>
              </w:rPr>
              <w:t xml:space="preserve">Action </w:t>
            </w:r>
          </w:p>
        </w:tc>
        <w:tc>
          <w:tcPr>
            <w:tcW w:w="2124" w:type="dxa"/>
            <w:tcBorders>
              <w:top w:val="single" w:sz="4" w:space="0" w:color="000000"/>
              <w:left w:val="single" w:sz="4" w:space="0" w:color="000000"/>
              <w:bottom w:val="single" w:sz="4" w:space="0" w:color="000000"/>
              <w:right w:val="single" w:sz="4" w:space="0" w:color="000000"/>
            </w:tcBorders>
            <w:shd w:val="clear" w:color="auto" w:fill="008080"/>
          </w:tcPr>
          <w:p w14:paraId="7EBD7FAF" w14:textId="77777777" w:rsidR="009454EF" w:rsidRDefault="009454EF">
            <w:pPr>
              <w:spacing w:line="259" w:lineRule="auto"/>
              <w:ind w:left="4"/>
            </w:pPr>
            <w:r>
              <w:rPr>
                <w:rFonts w:ascii="Arial" w:eastAsia="Arial" w:hAnsi="Arial" w:cs="Arial"/>
                <w:b/>
                <w:color w:val="FFFFFF"/>
              </w:rPr>
              <w:t xml:space="preserve">Start date </w:t>
            </w:r>
          </w:p>
        </w:tc>
        <w:tc>
          <w:tcPr>
            <w:tcW w:w="3968" w:type="dxa"/>
            <w:tcBorders>
              <w:top w:val="single" w:sz="4" w:space="0" w:color="000000"/>
              <w:left w:val="single" w:sz="4" w:space="0" w:color="000000"/>
              <w:bottom w:val="single" w:sz="4" w:space="0" w:color="000000"/>
              <w:right w:val="single" w:sz="4" w:space="0" w:color="000000"/>
            </w:tcBorders>
            <w:shd w:val="clear" w:color="auto" w:fill="008080"/>
          </w:tcPr>
          <w:p w14:paraId="46D85270" w14:textId="77777777" w:rsidR="009454EF" w:rsidRDefault="009454EF">
            <w:pPr>
              <w:spacing w:line="259" w:lineRule="auto"/>
              <w:ind w:left="4"/>
            </w:pPr>
            <w:r>
              <w:rPr>
                <w:rFonts w:ascii="Arial" w:eastAsia="Arial" w:hAnsi="Arial" w:cs="Arial"/>
                <w:b/>
                <w:color w:val="FFFFFF"/>
              </w:rPr>
              <w:t xml:space="preserve">Contact </w:t>
            </w:r>
          </w:p>
        </w:tc>
      </w:tr>
      <w:tr w:rsidR="009454EF" w14:paraId="6D8EC383" w14:textId="77777777">
        <w:trPr>
          <w:trHeight w:val="287"/>
        </w:trPr>
        <w:tc>
          <w:tcPr>
            <w:tcW w:w="1979" w:type="dxa"/>
            <w:tcBorders>
              <w:top w:val="single" w:sz="4" w:space="0" w:color="000000"/>
              <w:left w:val="single" w:sz="4" w:space="0" w:color="000000"/>
              <w:bottom w:val="single" w:sz="4" w:space="0" w:color="000000"/>
              <w:right w:val="single" w:sz="4" w:space="0" w:color="000000"/>
            </w:tcBorders>
          </w:tcPr>
          <w:p w14:paraId="5BBB1B14" w14:textId="77777777" w:rsidR="009454EF" w:rsidRDefault="009454EF">
            <w:pPr>
              <w:spacing w:line="259" w:lineRule="auto"/>
            </w:pPr>
            <w:r>
              <w:t xml:space="preserve">ITT issued </w:t>
            </w:r>
          </w:p>
        </w:tc>
        <w:tc>
          <w:tcPr>
            <w:tcW w:w="2124" w:type="dxa"/>
            <w:tcBorders>
              <w:top w:val="single" w:sz="4" w:space="0" w:color="000000"/>
              <w:left w:val="single" w:sz="4" w:space="0" w:color="000000"/>
              <w:bottom w:val="single" w:sz="4" w:space="0" w:color="000000"/>
              <w:right w:val="single" w:sz="4" w:space="0" w:color="000000"/>
            </w:tcBorders>
          </w:tcPr>
          <w:p w14:paraId="340AB166" w14:textId="77777777" w:rsidR="009454EF" w:rsidRDefault="009454EF">
            <w:pPr>
              <w:spacing w:line="259" w:lineRule="auto"/>
              <w:ind w:left="4"/>
            </w:pPr>
            <w:r>
              <w:t xml:space="preserve">20/09/2022 </w:t>
            </w:r>
          </w:p>
        </w:tc>
        <w:tc>
          <w:tcPr>
            <w:tcW w:w="3968" w:type="dxa"/>
            <w:tcBorders>
              <w:top w:val="single" w:sz="4" w:space="0" w:color="000000"/>
              <w:left w:val="single" w:sz="4" w:space="0" w:color="000000"/>
              <w:bottom w:val="single" w:sz="4" w:space="0" w:color="000000"/>
              <w:right w:val="single" w:sz="4" w:space="0" w:color="000000"/>
            </w:tcBorders>
          </w:tcPr>
          <w:p w14:paraId="19445572" w14:textId="77777777" w:rsidR="009454EF" w:rsidRDefault="009454EF">
            <w:pPr>
              <w:spacing w:line="259" w:lineRule="auto"/>
              <w:ind w:left="4"/>
            </w:pPr>
            <w:r>
              <w:t xml:space="preserve">howard.liley@hmrc.gov.uk  </w:t>
            </w:r>
          </w:p>
        </w:tc>
      </w:tr>
      <w:tr w:rsidR="009454EF" w14:paraId="61877609" w14:textId="77777777">
        <w:trPr>
          <w:trHeight w:val="286"/>
        </w:trPr>
        <w:tc>
          <w:tcPr>
            <w:tcW w:w="1979" w:type="dxa"/>
            <w:tcBorders>
              <w:top w:val="single" w:sz="4" w:space="0" w:color="000000"/>
              <w:left w:val="single" w:sz="4" w:space="0" w:color="000000"/>
              <w:bottom w:val="single" w:sz="4" w:space="0" w:color="000000"/>
              <w:right w:val="single" w:sz="4" w:space="0" w:color="000000"/>
            </w:tcBorders>
          </w:tcPr>
          <w:p w14:paraId="18EF7546" w14:textId="77777777" w:rsidR="009454EF" w:rsidRDefault="009454EF">
            <w:pPr>
              <w:spacing w:line="259" w:lineRule="auto"/>
            </w:pPr>
            <w:r>
              <w:t xml:space="preserve">Submit queries  </w:t>
            </w:r>
          </w:p>
        </w:tc>
        <w:tc>
          <w:tcPr>
            <w:tcW w:w="2124" w:type="dxa"/>
            <w:tcBorders>
              <w:top w:val="single" w:sz="4" w:space="0" w:color="000000"/>
              <w:left w:val="single" w:sz="4" w:space="0" w:color="000000"/>
              <w:bottom w:val="single" w:sz="4" w:space="0" w:color="000000"/>
              <w:right w:val="single" w:sz="4" w:space="0" w:color="000000"/>
            </w:tcBorders>
          </w:tcPr>
          <w:p w14:paraId="3572BB7F" w14:textId="77777777" w:rsidR="009454EF" w:rsidRDefault="009454EF">
            <w:pPr>
              <w:spacing w:line="259" w:lineRule="auto"/>
              <w:ind w:left="4"/>
            </w:pPr>
            <w:r>
              <w:t xml:space="preserve">By 5/10/2022 </w:t>
            </w:r>
          </w:p>
        </w:tc>
        <w:tc>
          <w:tcPr>
            <w:tcW w:w="3968" w:type="dxa"/>
            <w:tcBorders>
              <w:top w:val="single" w:sz="4" w:space="0" w:color="000000"/>
              <w:left w:val="single" w:sz="4" w:space="0" w:color="000000"/>
              <w:bottom w:val="single" w:sz="4" w:space="0" w:color="000000"/>
              <w:right w:val="single" w:sz="4" w:space="0" w:color="000000"/>
            </w:tcBorders>
          </w:tcPr>
          <w:p w14:paraId="0D8FD267" w14:textId="77777777" w:rsidR="009454EF" w:rsidRDefault="009454EF">
            <w:pPr>
              <w:spacing w:line="259" w:lineRule="auto"/>
              <w:ind w:left="4"/>
            </w:pPr>
            <w:r>
              <w:t xml:space="preserve">howard.liley@hmrc.gov.uk  </w:t>
            </w:r>
          </w:p>
        </w:tc>
      </w:tr>
      <w:tr w:rsidR="009454EF" w14:paraId="6C7AFBAC" w14:textId="77777777">
        <w:trPr>
          <w:trHeight w:val="562"/>
        </w:trPr>
        <w:tc>
          <w:tcPr>
            <w:tcW w:w="1979" w:type="dxa"/>
            <w:tcBorders>
              <w:top w:val="single" w:sz="4" w:space="0" w:color="000000"/>
              <w:left w:val="single" w:sz="4" w:space="0" w:color="000000"/>
              <w:bottom w:val="single" w:sz="4" w:space="0" w:color="000000"/>
              <w:right w:val="single" w:sz="4" w:space="0" w:color="000000"/>
            </w:tcBorders>
          </w:tcPr>
          <w:p w14:paraId="24C80F16" w14:textId="77777777" w:rsidR="009454EF" w:rsidRDefault="009454EF">
            <w:pPr>
              <w:spacing w:line="259" w:lineRule="auto"/>
            </w:pPr>
            <w:r>
              <w:t xml:space="preserve">Answers will be provided by </w:t>
            </w:r>
          </w:p>
        </w:tc>
        <w:tc>
          <w:tcPr>
            <w:tcW w:w="2124" w:type="dxa"/>
            <w:tcBorders>
              <w:top w:val="single" w:sz="4" w:space="0" w:color="000000"/>
              <w:left w:val="single" w:sz="4" w:space="0" w:color="000000"/>
              <w:bottom w:val="single" w:sz="4" w:space="0" w:color="000000"/>
              <w:right w:val="single" w:sz="4" w:space="0" w:color="000000"/>
            </w:tcBorders>
          </w:tcPr>
          <w:p w14:paraId="29F79456" w14:textId="77777777" w:rsidR="009454EF" w:rsidRDefault="009454EF">
            <w:pPr>
              <w:spacing w:line="259" w:lineRule="auto"/>
              <w:ind w:left="4"/>
            </w:pPr>
            <w:r>
              <w:t xml:space="preserve">By 4pm 7/10/2022 </w:t>
            </w:r>
          </w:p>
        </w:tc>
        <w:tc>
          <w:tcPr>
            <w:tcW w:w="3968" w:type="dxa"/>
            <w:tcBorders>
              <w:top w:val="single" w:sz="4" w:space="0" w:color="000000"/>
              <w:left w:val="single" w:sz="4" w:space="0" w:color="000000"/>
              <w:bottom w:val="single" w:sz="4" w:space="0" w:color="000000"/>
              <w:right w:val="single" w:sz="4" w:space="0" w:color="000000"/>
            </w:tcBorders>
          </w:tcPr>
          <w:p w14:paraId="1A027CD0" w14:textId="77777777" w:rsidR="009454EF" w:rsidRDefault="009454EF">
            <w:pPr>
              <w:spacing w:line="259" w:lineRule="auto"/>
              <w:ind w:left="4"/>
            </w:pPr>
            <w:r>
              <w:t xml:space="preserve">howard.liley@hmrc.gov.uk  </w:t>
            </w:r>
          </w:p>
        </w:tc>
      </w:tr>
      <w:tr w:rsidR="009454EF" w14:paraId="2342AA3C" w14:textId="77777777">
        <w:trPr>
          <w:trHeight w:val="1116"/>
        </w:trPr>
        <w:tc>
          <w:tcPr>
            <w:tcW w:w="1979" w:type="dxa"/>
            <w:tcBorders>
              <w:top w:val="single" w:sz="4" w:space="0" w:color="000000"/>
              <w:left w:val="single" w:sz="4" w:space="0" w:color="000000"/>
              <w:bottom w:val="single" w:sz="4" w:space="0" w:color="000000"/>
              <w:right w:val="single" w:sz="4" w:space="0" w:color="000000"/>
            </w:tcBorders>
          </w:tcPr>
          <w:p w14:paraId="4515D398" w14:textId="77777777" w:rsidR="009454EF" w:rsidRDefault="009454EF">
            <w:pPr>
              <w:spacing w:line="259" w:lineRule="auto"/>
            </w:pPr>
            <w:r>
              <w:t xml:space="preserve">Notify your intention to submit a proposal </w:t>
            </w:r>
          </w:p>
        </w:tc>
        <w:tc>
          <w:tcPr>
            <w:tcW w:w="2124" w:type="dxa"/>
            <w:tcBorders>
              <w:top w:val="single" w:sz="4" w:space="0" w:color="000000"/>
              <w:left w:val="single" w:sz="4" w:space="0" w:color="000000"/>
              <w:bottom w:val="single" w:sz="4" w:space="0" w:color="000000"/>
              <w:right w:val="single" w:sz="4" w:space="0" w:color="000000"/>
            </w:tcBorders>
          </w:tcPr>
          <w:p w14:paraId="71634D73" w14:textId="77777777" w:rsidR="009454EF" w:rsidRDefault="009454EF">
            <w:pPr>
              <w:spacing w:line="259" w:lineRule="auto"/>
              <w:ind w:left="4"/>
            </w:pPr>
            <w:r>
              <w:t xml:space="preserve">By 4pm </w:t>
            </w:r>
          </w:p>
          <w:p w14:paraId="099F2FD0" w14:textId="77777777" w:rsidR="009454EF" w:rsidRDefault="009454EF">
            <w:pPr>
              <w:spacing w:line="259" w:lineRule="auto"/>
              <w:ind w:left="4"/>
            </w:pPr>
            <w:r>
              <w:t xml:space="preserve">12/10/2022 </w:t>
            </w:r>
          </w:p>
        </w:tc>
        <w:tc>
          <w:tcPr>
            <w:tcW w:w="3968" w:type="dxa"/>
            <w:tcBorders>
              <w:top w:val="single" w:sz="4" w:space="0" w:color="000000"/>
              <w:left w:val="single" w:sz="4" w:space="0" w:color="000000"/>
              <w:bottom w:val="single" w:sz="4" w:space="0" w:color="000000"/>
              <w:right w:val="single" w:sz="4" w:space="0" w:color="000000"/>
            </w:tcBorders>
          </w:tcPr>
          <w:p w14:paraId="3AF9FBEE" w14:textId="77777777" w:rsidR="009454EF" w:rsidRDefault="009454EF">
            <w:pPr>
              <w:spacing w:line="259" w:lineRule="auto"/>
              <w:ind w:left="4"/>
            </w:pPr>
            <w:r>
              <w:t xml:space="preserve">howard.liley@hmrc.gov.uk  </w:t>
            </w:r>
          </w:p>
        </w:tc>
      </w:tr>
      <w:tr w:rsidR="009454EF" w14:paraId="6606DFFC" w14:textId="77777777">
        <w:trPr>
          <w:trHeight w:val="283"/>
        </w:trPr>
        <w:tc>
          <w:tcPr>
            <w:tcW w:w="1979" w:type="dxa"/>
            <w:tcBorders>
              <w:top w:val="single" w:sz="4" w:space="0" w:color="000000"/>
              <w:left w:val="single" w:sz="4" w:space="0" w:color="000000"/>
              <w:bottom w:val="single" w:sz="4" w:space="0" w:color="000000"/>
              <w:right w:val="single" w:sz="4" w:space="0" w:color="000000"/>
            </w:tcBorders>
            <w:shd w:val="clear" w:color="auto" w:fill="008080"/>
          </w:tcPr>
          <w:p w14:paraId="4F89924B" w14:textId="77777777" w:rsidR="009454EF" w:rsidRDefault="009454EF">
            <w:pPr>
              <w:spacing w:line="259" w:lineRule="auto"/>
            </w:pPr>
            <w:r>
              <w:rPr>
                <w:rFonts w:ascii="Arial" w:eastAsia="Arial" w:hAnsi="Arial" w:cs="Arial"/>
                <w:b/>
                <w:color w:val="FFFFFF"/>
              </w:rPr>
              <w:t xml:space="preserve">Action </w:t>
            </w:r>
          </w:p>
        </w:tc>
        <w:tc>
          <w:tcPr>
            <w:tcW w:w="2124" w:type="dxa"/>
            <w:tcBorders>
              <w:top w:val="single" w:sz="4" w:space="0" w:color="000000"/>
              <w:left w:val="single" w:sz="4" w:space="0" w:color="000000"/>
              <w:bottom w:val="single" w:sz="4" w:space="0" w:color="000000"/>
              <w:right w:val="single" w:sz="4" w:space="0" w:color="000000"/>
            </w:tcBorders>
            <w:shd w:val="clear" w:color="auto" w:fill="008080"/>
          </w:tcPr>
          <w:p w14:paraId="6BBE208F" w14:textId="77777777" w:rsidR="009454EF" w:rsidRDefault="009454EF">
            <w:pPr>
              <w:spacing w:line="259" w:lineRule="auto"/>
              <w:ind w:left="4"/>
            </w:pPr>
            <w:r>
              <w:rPr>
                <w:rFonts w:ascii="Arial" w:eastAsia="Arial" w:hAnsi="Arial" w:cs="Arial"/>
                <w:b/>
                <w:color w:val="FFFFFF"/>
              </w:rPr>
              <w:t xml:space="preserve">Start date </w:t>
            </w:r>
          </w:p>
        </w:tc>
        <w:tc>
          <w:tcPr>
            <w:tcW w:w="3968" w:type="dxa"/>
            <w:tcBorders>
              <w:top w:val="single" w:sz="4" w:space="0" w:color="000000"/>
              <w:left w:val="single" w:sz="4" w:space="0" w:color="000000"/>
              <w:bottom w:val="single" w:sz="4" w:space="0" w:color="000000"/>
              <w:right w:val="single" w:sz="4" w:space="0" w:color="000000"/>
            </w:tcBorders>
            <w:shd w:val="clear" w:color="auto" w:fill="008080"/>
          </w:tcPr>
          <w:p w14:paraId="77F3FB91" w14:textId="77777777" w:rsidR="009454EF" w:rsidRDefault="009454EF">
            <w:pPr>
              <w:spacing w:line="259" w:lineRule="auto"/>
              <w:ind w:left="4"/>
            </w:pPr>
            <w:r>
              <w:rPr>
                <w:rFonts w:ascii="Arial" w:eastAsia="Arial" w:hAnsi="Arial" w:cs="Arial"/>
                <w:b/>
                <w:color w:val="FFFFFF"/>
              </w:rPr>
              <w:t xml:space="preserve">Contact </w:t>
            </w:r>
          </w:p>
        </w:tc>
      </w:tr>
      <w:tr w:rsidR="009454EF" w14:paraId="1B2D622C" w14:textId="77777777">
        <w:trPr>
          <w:trHeight w:val="839"/>
        </w:trPr>
        <w:tc>
          <w:tcPr>
            <w:tcW w:w="1979" w:type="dxa"/>
            <w:tcBorders>
              <w:top w:val="single" w:sz="4" w:space="0" w:color="000000"/>
              <w:left w:val="single" w:sz="4" w:space="0" w:color="000000"/>
              <w:bottom w:val="single" w:sz="4" w:space="0" w:color="000000"/>
              <w:right w:val="single" w:sz="4" w:space="0" w:color="000000"/>
            </w:tcBorders>
          </w:tcPr>
          <w:p w14:paraId="30CBBF8F" w14:textId="77777777" w:rsidR="009454EF" w:rsidRDefault="009454EF">
            <w:pPr>
              <w:spacing w:line="259" w:lineRule="auto"/>
            </w:pPr>
            <w:r>
              <w:t xml:space="preserve">Submit read only tender and costs via email  </w:t>
            </w:r>
          </w:p>
        </w:tc>
        <w:tc>
          <w:tcPr>
            <w:tcW w:w="2124" w:type="dxa"/>
            <w:tcBorders>
              <w:top w:val="single" w:sz="4" w:space="0" w:color="000000"/>
              <w:left w:val="single" w:sz="4" w:space="0" w:color="000000"/>
              <w:bottom w:val="single" w:sz="4" w:space="0" w:color="000000"/>
              <w:right w:val="single" w:sz="4" w:space="0" w:color="000000"/>
            </w:tcBorders>
          </w:tcPr>
          <w:p w14:paraId="138091D7" w14:textId="77777777" w:rsidR="009454EF" w:rsidRDefault="009454EF">
            <w:pPr>
              <w:spacing w:line="259" w:lineRule="auto"/>
              <w:ind w:left="4"/>
            </w:pPr>
            <w:r>
              <w:t xml:space="preserve">By 4pm </w:t>
            </w:r>
          </w:p>
          <w:p w14:paraId="4667A41F" w14:textId="77777777" w:rsidR="009454EF" w:rsidRDefault="009454EF">
            <w:pPr>
              <w:spacing w:line="259" w:lineRule="auto"/>
              <w:ind w:left="4"/>
            </w:pPr>
            <w:r>
              <w:t xml:space="preserve">18/10/2022 </w:t>
            </w:r>
          </w:p>
        </w:tc>
        <w:tc>
          <w:tcPr>
            <w:tcW w:w="3968" w:type="dxa"/>
            <w:tcBorders>
              <w:top w:val="single" w:sz="4" w:space="0" w:color="000000"/>
              <w:left w:val="single" w:sz="4" w:space="0" w:color="000000"/>
              <w:bottom w:val="single" w:sz="4" w:space="0" w:color="000000"/>
              <w:right w:val="single" w:sz="4" w:space="0" w:color="000000"/>
            </w:tcBorders>
          </w:tcPr>
          <w:p w14:paraId="111009E3" w14:textId="77777777" w:rsidR="009454EF" w:rsidRDefault="009454EF">
            <w:pPr>
              <w:spacing w:line="259" w:lineRule="auto"/>
              <w:ind w:left="4"/>
            </w:pPr>
            <w:r>
              <w:t xml:space="preserve">howard.liley@hmrc.gov.uk  </w:t>
            </w:r>
          </w:p>
          <w:p w14:paraId="2F580E07" w14:textId="77777777" w:rsidR="009454EF" w:rsidRDefault="009454EF">
            <w:pPr>
              <w:spacing w:line="259" w:lineRule="auto"/>
              <w:ind w:left="4"/>
            </w:pPr>
            <w:r>
              <w:t xml:space="preserve"> </w:t>
            </w:r>
          </w:p>
          <w:p w14:paraId="601EDDBC" w14:textId="77777777" w:rsidR="009454EF" w:rsidRDefault="009454EF">
            <w:pPr>
              <w:spacing w:line="259" w:lineRule="auto"/>
              <w:ind w:left="4"/>
            </w:pPr>
            <w:r>
              <w:t xml:space="preserve">Husain.akubat@hmrc.gov.uk </w:t>
            </w:r>
          </w:p>
        </w:tc>
      </w:tr>
      <w:tr w:rsidR="009454EF" w14:paraId="4EAC4EA4" w14:textId="77777777">
        <w:trPr>
          <w:trHeight w:val="562"/>
        </w:trPr>
        <w:tc>
          <w:tcPr>
            <w:tcW w:w="1979" w:type="dxa"/>
            <w:tcBorders>
              <w:top w:val="single" w:sz="4" w:space="0" w:color="000000"/>
              <w:left w:val="single" w:sz="4" w:space="0" w:color="000000"/>
              <w:bottom w:val="single" w:sz="4" w:space="0" w:color="000000"/>
              <w:right w:val="single" w:sz="4" w:space="0" w:color="000000"/>
            </w:tcBorders>
          </w:tcPr>
          <w:p w14:paraId="371BE28A" w14:textId="77777777" w:rsidR="009454EF" w:rsidRDefault="009454EF">
            <w:pPr>
              <w:spacing w:line="259" w:lineRule="auto"/>
            </w:pPr>
            <w:r>
              <w:t xml:space="preserve">Evaluation </w:t>
            </w:r>
          </w:p>
        </w:tc>
        <w:tc>
          <w:tcPr>
            <w:tcW w:w="2124" w:type="dxa"/>
            <w:tcBorders>
              <w:top w:val="single" w:sz="4" w:space="0" w:color="000000"/>
              <w:left w:val="single" w:sz="4" w:space="0" w:color="000000"/>
              <w:bottom w:val="single" w:sz="4" w:space="0" w:color="000000"/>
              <w:right w:val="single" w:sz="4" w:space="0" w:color="000000"/>
            </w:tcBorders>
          </w:tcPr>
          <w:p w14:paraId="43CE9695" w14:textId="77777777" w:rsidR="009454EF" w:rsidRDefault="009454EF">
            <w:pPr>
              <w:spacing w:line="259" w:lineRule="auto"/>
              <w:ind w:left="4"/>
            </w:pPr>
            <w:r>
              <w:t xml:space="preserve">19/10/2022 – </w:t>
            </w:r>
          </w:p>
          <w:p w14:paraId="6773B2C9" w14:textId="77777777" w:rsidR="009454EF" w:rsidRDefault="009454EF">
            <w:pPr>
              <w:spacing w:line="259" w:lineRule="auto"/>
              <w:ind w:left="4"/>
            </w:pPr>
            <w:r>
              <w:t xml:space="preserve">21/10/2022 </w:t>
            </w:r>
          </w:p>
        </w:tc>
        <w:tc>
          <w:tcPr>
            <w:tcW w:w="3968" w:type="dxa"/>
            <w:tcBorders>
              <w:top w:val="single" w:sz="4" w:space="0" w:color="000000"/>
              <w:left w:val="single" w:sz="4" w:space="0" w:color="000000"/>
              <w:bottom w:val="single" w:sz="4" w:space="0" w:color="000000"/>
              <w:right w:val="single" w:sz="4" w:space="0" w:color="000000"/>
            </w:tcBorders>
          </w:tcPr>
          <w:p w14:paraId="5C9EAEFF" w14:textId="77777777" w:rsidR="009454EF" w:rsidRDefault="009454EF">
            <w:pPr>
              <w:spacing w:line="259" w:lineRule="auto"/>
              <w:ind w:left="4"/>
            </w:pPr>
            <w:r>
              <w:t xml:space="preserve">howard.liley@hmrc.gov.uk  </w:t>
            </w:r>
          </w:p>
        </w:tc>
      </w:tr>
      <w:tr w:rsidR="009454EF" w14:paraId="7A10A184" w14:textId="77777777">
        <w:trPr>
          <w:trHeight w:val="787"/>
        </w:trPr>
        <w:tc>
          <w:tcPr>
            <w:tcW w:w="1979" w:type="dxa"/>
            <w:tcBorders>
              <w:top w:val="single" w:sz="4" w:space="0" w:color="000000"/>
              <w:left w:val="single" w:sz="4" w:space="0" w:color="000000"/>
              <w:bottom w:val="single" w:sz="4" w:space="0" w:color="000000"/>
              <w:right w:val="single" w:sz="4" w:space="0" w:color="000000"/>
            </w:tcBorders>
          </w:tcPr>
          <w:p w14:paraId="4351D9E5" w14:textId="77777777" w:rsidR="009454EF" w:rsidRDefault="009454EF">
            <w:pPr>
              <w:spacing w:line="259" w:lineRule="auto"/>
            </w:pPr>
            <w:r>
              <w:t xml:space="preserve">Contract award completed </w:t>
            </w:r>
          </w:p>
        </w:tc>
        <w:tc>
          <w:tcPr>
            <w:tcW w:w="2124" w:type="dxa"/>
            <w:tcBorders>
              <w:top w:val="single" w:sz="4" w:space="0" w:color="000000"/>
              <w:left w:val="single" w:sz="4" w:space="0" w:color="000000"/>
              <w:bottom w:val="single" w:sz="4" w:space="0" w:color="000000"/>
              <w:right w:val="single" w:sz="4" w:space="0" w:color="000000"/>
            </w:tcBorders>
          </w:tcPr>
          <w:p w14:paraId="36210ABF" w14:textId="77777777" w:rsidR="009454EF" w:rsidRDefault="009454EF">
            <w:pPr>
              <w:spacing w:line="259" w:lineRule="auto"/>
              <w:ind w:left="4"/>
            </w:pPr>
            <w:r>
              <w:t>w/c 31</w:t>
            </w:r>
            <w:r>
              <w:rPr>
                <w:vertAlign w:val="superscript"/>
              </w:rPr>
              <w:t>st</w:t>
            </w:r>
            <w:r>
              <w:t xml:space="preserve"> October 2022 </w:t>
            </w:r>
          </w:p>
        </w:tc>
        <w:tc>
          <w:tcPr>
            <w:tcW w:w="3968" w:type="dxa"/>
            <w:tcBorders>
              <w:top w:val="single" w:sz="4" w:space="0" w:color="000000"/>
              <w:left w:val="single" w:sz="4" w:space="0" w:color="000000"/>
              <w:bottom w:val="single" w:sz="4" w:space="0" w:color="000000"/>
              <w:right w:val="single" w:sz="4" w:space="0" w:color="000000"/>
            </w:tcBorders>
          </w:tcPr>
          <w:p w14:paraId="2CA61216" w14:textId="77777777" w:rsidR="009454EF" w:rsidRDefault="009454EF">
            <w:pPr>
              <w:spacing w:line="259" w:lineRule="auto"/>
              <w:ind w:left="4"/>
            </w:pPr>
            <w:r>
              <w:t xml:space="preserve">howard.liley@hmrc.gov.uk </w:t>
            </w:r>
          </w:p>
        </w:tc>
      </w:tr>
      <w:tr w:rsidR="009454EF" w14:paraId="581B28E0" w14:textId="77777777">
        <w:trPr>
          <w:trHeight w:val="1116"/>
        </w:trPr>
        <w:tc>
          <w:tcPr>
            <w:tcW w:w="1979" w:type="dxa"/>
            <w:tcBorders>
              <w:top w:val="single" w:sz="4" w:space="0" w:color="000000"/>
              <w:left w:val="single" w:sz="4" w:space="0" w:color="000000"/>
              <w:bottom w:val="single" w:sz="4" w:space="0" w:color="000000"/>
              <w:right w:val="single" w:sz="4" w:space="0" w:color="000000"/>
            </w:tcBorders>
          </w:tcPr>
          <w:p w14:paraId="6B1148C0" w14:textId="77777777" w:rsidR="009454EF" w:rsidRDefault="009454EF">
            <w:pPr>
              <w:spacing w:line="259" w:lineRule="auto"/>
            </w:pPr>
            <w:r>
              <w:t xml:space="preserve">Unsuccessful providers notified of outcome  </w:t>
            </w:r>
          </w:p>
        </w:tc>
        <w:tc>
          <w:tcPr>
            <w:tcW w:w="2124" w:type="dxa"/>
            <w:tcBorders>
              <w:top w:val="single" w:sz="4" w:space="0" w:color="000000"/>
              <w:left w:val="single" w:sz="4" w:space="0" w:color="000000"/>
              <w:bottom w:val="single" w:sz="4" w:space="0" w:color="000000"/>
              <w:right w:val="single" w:sz="4" w:space="0" w:color="000000"/>
            </w:tcBorders>
          </w:tcPr>
          <w:p w14:paraId="1120DB13" w14:textId="77777777" w:rsidR="009454EF" w:rsidRDefault="009454EF">
            <w:pPr>
              <w:spacing w:line="259" w:lineRule="auto"/>
              <w:ind w:left="4"/>
            </w:pPr>
            <w:r>
              <w:t xml:space="preserve">w/c 31st October </w:t>
            </w:r>
          </w:p>
        </w:tc>
        <w:tc>
          <w:tcPr>
            <w:tcW w:w="3968" w:type="dxa"/>
            <w:tcBorders>
              <w:top w:val="single" w:sz="4" w:space="0" w:color="000000"/>
              <w:left w:val="single" w:sz="4" w:space="0" w:color="000000"/>
              <w:bottom w:val="single" w:sz="4" w:space="0" w:color="000000"/>
              <w:right w:val="single" w:sz="4" w:space="0" w:color="000000"/>
            </w:tcBorders>
          </w:tcPr>
          <w:p w14:paraId="34811BFB" w14:textId="77777777" w:rsidR="009454EF" w:rsidRDefault="009454EF">
            <w:pPr>
              <w:spacing w:line="259" w:lineRule="auto"/>
              <w:ind w:left="4"/>
            </w:pPr>
            <w:r>
              <w:t xml:space="preserve">howard.liley@hmrc.gov.uk </w:t>
            </w:r>
          </w:p>
        </w:tc>
      </w:tr>
    </w:tbl>
    <w:p w14:paraId="24FBF829" w14:textId="77777777" w:rsidR="009454EF" w:rsidRDefault="009454EF">
      <w:pPr>
        <w:spacing w:after="158" w:line="259" w:lineRule="auto"/>
        <w:ind w:left="1560"/>
      </w:pPr>
      <w:r>
        <w:t xml:space="preserve"> </w:t>
      </w:r>
    </w:p>
    <w:p w14:paraId="716C0E1D" w14:textId="77777777" w:rsidR="009454EF" w:rsidRDefault="009454EF">
      <w:pPr>
        <w:ind w:left="1401" w:hanging="566"/>
      </w:pPr>
      <w:r>
        <w:lastRenderedPageBreak/>
        <w:t xml:space="preserve">12.5 If your tender is submitted in the name of one company or organisation but you intend submitting invoices in the name of another, or require payments to be made to another, please give full details. Otherwise, there may be delay in payment. </w:t>
      </w:r>
    </w:p>
    <w:p w14:paraId="59666AD7" w14:textId="77777777" w:rsidR="009454EF" w:rsidRDefault="009454EF">
      <w:pPr>
        <w:pStyle w:val="Heading2"/>
        <w:ind w:left="703"/>
      </w:pPr>
      <w:bookmarkStart w:id="87" w:name="_Toc25012"/>
      <w:r>
        <w:t xml:space="preserve">13 Summary of requirements </w:t>
      </w:r>
      <w:bookmarkEnd w:id="87"/>
    </w:p>
    <w:p w14:paraId="491DA122" w14:textId="77777777" w:rsidR="009454EF" w:rsidRDefault="009454EF">
      <w:pPr>
        <w:spacing w:after="0" w:line="259" w:lineRule="auto"/>
        <w:ind w:left="1428"/>
      </w:pPr>
      <w:r>
        <w:rPr>
          <w:rFonts w:ascii="Arial" w:eastAsia="Arial" w:hAnsi="Arial" w:cs="Arial"/>
          <w:b/>
        </w:rPr>
        <w:t xml:space="preserve"> </w:t>
      </w:r>
    </w:p>
    <w:p w14:paraId="10BB65D4" w14:textId="77777777" w:rsidR="009454EF" w:rsidRDefault="009454EF">
      <w:pPr>
        <w:spacing w:after="15"/>
        <w:ind w:left="845"/>
      </w:pPr>
      <w:r>
        <w:t xml:space="preserve">13.1 Tenders should include the following information: </w:t>
      </w:r>
    </w:p>
    <w:p w14:paraId="003E2CA4" w14:textId="77777777" w:rsidR="009454EF" w:rsidRDefault="009454EF" w:rsidP="009454EF">
      <w:pPr>
        <w:numPr>
          <w:ilvl w:val="0"/>
          <w:numId w:val="12"/>
        </w:numPr>
        <w:spacing w:after="179" w:line="265" w:lineRule="auto"/>
        <w:ind w:hanging="710"/>
      </w:pPr>
      <w:r>
        <w:t xml:space="preserve">A written Tender in a read-only pdf not exceeding 25 pages including: </w:t>
      </w:r>
    </w:p>
    <w:p w14:paraId="6C435303" w14:textId="77777777" w:rsidR="009454EF" w:rsidRDefault="009454EF" w:rsidP="009454EF">
      <w:pPr>
        <w:numPr>
          <w:ilvl w:val="2"/>
          <w:numId w:val="14"/>
        </w:numPr>
        <w:spacing w:after="0" w:line="265" w:lineRule="auto"/>
        <w:ind w:hanging="360"/>
      </w:pPr>
      <w:r>
        <w:t xml:space="preserve">A detailed written Tender detailing how you will meet the requirements, aims and objectives as outlined in Sections 3-10 of the ITT. This should also include the proposed team composition including the staffing level (grade) of each member of the team and the number of days given to each key stage of the project per team member in this section (excluding costs).  </w:t>
      </w:r>
    </w:p>
    <w:p w14:paraId="6DD48636" w14:textId="77777777" w:rsidR="009454EF" w:rsidRDefault="009454EF">
      <w:pPr>
        <w:spacing w:after="19" w:line="259" w:lineRule="auto"/>
        <w:ind w:left="2693"/>
      </w:pPr>
      <w:r>
        <w:t xml:space="preserve"> </w:t>
      </w:r>
    </w:p>
    <w:p w14:paraId="0D2DB20B" w14:textId="77777777" w:rsidR="009454EF" w:rsidRDefault="009454EF" w:rsidP="009454EF">
      <w:pPr>
        <w:numPr>
          <w:ilvl w:val="2"/>
          <w:numId w:val="14"/>
        </w:numPr>
        <w:spacing w:after="0" w:line="265" w:lineRule="auto"/>
        <w:ind w:hanging="360"/>
      </w:pPr>
      <w:r>
        <w:t xml:space="preserve">Where incentives are proposed, you should include a description of the type of incentive to be used and their total cost in your written Tender (no other cost should be contained within your written proposal). </w:t>
      </w:r>
    </w:p>
    <w:p w14:paraId="2D13FD2E" w14:textId="77777777" w:rsidR="009454EF" w:rsidRDefault="009454EF">
      <w:pPr>
        <w:spacing w:after="16" w:line="259" w:lineRule="auto"/>
        <w:ind w:left="2770"/>
      </w:pPr>
      <w:r>
        <w:t xml:space="preserve"> </w:t>
      </w:r>
    </w:p>
    <w:p w14:paraId="72E4957D" w14:textId="77777777" w:rsidR="009454EF" w:rsidRDefault="009454EF" w:rsidP="009454EF">
      <w:pPr>
        <w:numPr>
          <w:ilvl w:val="2"/>
          <w:numId w:val="14"/>
        </w:numPr>
        <w:spacing w:after="155" w:line="265" w:lineRule="auto"/>
        <w:ind w:hanging="360"/>
      </w:pPr>
      <w:r>
        <w:t xml:space="preserve">A detailed timetable for the proposed research for each specific information requirement, taking into account that outlined in Section </w:t>
      </w:r>
      <w:proofErr w:type="gramStart"/>
      <w:r>
        <w:t>5;</w:t>
      </w:r>
      <w:proofErr w:type="gramEnd"/>
      <w:r>
        <w:t xml:space="preserve"> </w:t>
      </w:r>
    </w:p>
    <w:p w14:paraId="4647DD10" w14:textId="77777777" w:rsidR="009454EF" w:rsidRDefault="009454EF" w:rsidP="009454EF">
      <w:pPr>
        <w:numPr>
          <w:ilvl w:val="2"/>
          <w:numId w:val="14"/>
        </w:numPr>
        <w:spacing w:after="155" w:line="265" w:lineRule="auto"/>
        <w:ind w:hanging="360"/>
      </w:pPr>
      <w:r>
        <w:t xml:space="preserve">A quality control plan as requested in 8.3 to demonstrate the procedures that will be implemented to assure quality control. This particular document should be attached to the written Tender as an </w:t>
      </w:r>
      <w:proofErr w:type="gramStart"/>
      <w:r>
        <w:t>annex;</w:t>
      </w:r>
      <w:proofErr w:type="gramEnd"/>
      <w:r>
        <w:t xml:space="preserve"> </w:t>
      </w:r>
    </w:p>
    <w:p w14:paraId="4DF88401" w14:textId="77777777" w:rsidR="009454EF" w:rsidRDefault="009454EF" w:rsidP="009454EF">
      <w:pPr>
        <w:numPr>
          <w:ilvl w:val="2"/>
          <w:numId w:val="14"/>
        </w:numPr>
        <w:spacing w:after="155" w:line="265" w:lineRule="auto"/>
        <w:ind w:hanging="360"/>
      </w:pPr>
      <w:r>
        <w:t xml:space="preserve">A risk </w:t>
      </w:r>
      <w:proofErr w:type="gramStart"/>
      <w:r>
        <w:t>register</w:t>
      </w:r>
      <w:proofErr w:type="gramEnd"/>
      <w:r>
        <w:t xml:space="preserve"> as outlined in 8.4 which outlines in detail the risks to the project and methods for mitigating them. This particular document should be attached to the written Tender as an </w:t>
      </w:r>
      <w:proofErr w:type="gramStart"/>
      <w:r>
        <w:t>annex;</w:t>
      </w:r>
      <w:proofErr w:type="gramEnd"/>
      <w:r>
        <w:t xml:space="preserve"> </w:t>
      </w:r>
    </w:p>
    <w:p w14:paraId="51ED085B" w14:textId="77777777" w:rsidR="009454EF" w:rsidRDefault="009454EF" w:rsidP="009454EF">
      <w:pPr>
        <w:numPr>
          <w:ilvl w:val="2"/>
          <w:numId w:val="14"/>
        </w:numPr>
        <w:spacing w:after="155" w:line="265" w:lineRule="auto"/>
        <w:ind w:hanging="360"/>
      </w:pPr>
      <w:r>
        <w:t xml:space="preserve">The Curriculum Vitae (CV) of key personnel </w:t>
      </w:r>
      <w:proofErr w:type="gramStart"/>
      <w:r>
        <w:t>proposed,</w:t>
      </w:r>
      <w:proofErr w:type="gramEnd"/>
      <w:r>
        <w:t xml:space="preserve"> their status within the company and area of expertise. This particular document should be attached to the written Tender as an annex and each CV </w:t>
      </w:r>
      <w:proofErr w:type="gramStart"/>
      <w:r>
        <w:t>and;</w:t>
      </w:r>
      <w:proofErr w:type="gramEnd"/>
      <w:r>
        <w:t xml:space="preserve"> </w:t>
      </w:r>
    </w:p>
    <w:p w14:paraId="0D667DC7" w14:textId="77777777" w:rsidR="009454EF" w:rsidRDefault="009454EF" w:rsidP="009454EF">
      <w:pPr>
        <w:numPr>
          <w:ilvl w:val="2"/>
          <w:numId w:val="14"/>
        </w:numPr>
        <w:spacing w:after="155" w:line="265" w:lineRule="auto"/>
        <w:ind w:hanging="360"/>
      </w:pPr>
      <w:r>
        <w:t xml:space="preserve">A response to the Social Value tender question included within Annex D Social Value. </w:t>
      </w:r>
    </w:p>
    <w:p w14:paraId="2FF3F24B" w14:textId="77777777" w:rsidR="009454EF" w:rsidRDefault="009454EF" w:rsidP="009454EF">
      <w:pPr>
        <w:numPr>
          <w:ilvl w:val="0"/>
          <w:numId w:val="12"/>
        </w:numPr>
        <w:spacing w:after="155" w:line="265" w:lineRule="auto"/>
        <w:ind w:hanging="710"/>
      </w:pPr>
      <w:r>
        <w:t xml:space="preserve">A firm price (exclusive of VAT) in a read-only excel spreadsheet as detailed in Section 17. This should be separate from the proposal. It should include: </w:t>
      </w:r>
    </w:p>
    <w:p w14:paraId="3CA2E729" w14:textId="77777777" w:rsidR="009454EF" w:rsidRDefault="009454EF" w:rsidP="009454EF">
      <w:pPr>
        <w:numPr>
          <w:ilvl w:val="2"/>
          <w:numId w:val="13"/>
        </w:numPr>
        <w:spacing w:after="127" w:line="265" w:lineRule="auto"/>
        <w:ind w:hanging="360"/>
      </w:pPr>
      <w:r>
        <w:t xml:space="preserve">a firm and specific total </w:t>
      </w:r>
      <w:proofErr w:type="gramStart"/>
      <w:r>
        <w:t>price;</w:t>
      </w:r>
      <w:proofErr w:type="gramEnd"/>
      <w:r>
        <w:t xml:space="preserve"> </w:t>
      </w:r>
    </w:p>
    <w:p w14:paraId="508AE769" w14:textId="77777777" w:rsidR="009454EF" w:rsidRDefault="009454EF" w:rsidP="009454EF">
      <w:pPr>
        <w:numPr>
          <w:ilvl w:val="2"/>
          <w:numId w:val="13"/>
        </w:numPr>
        <w:spacing w:after="124" w:line="265" w:lineRule="auto"/>
        <w:ind w:hanging="360"/>
      </w:pPr>
      <w:r>
        <w:t xml:space="preserve">Details of key individual personnel’s chargeable day </w:t>
      </w:r>
      <w:proofErr w:type="gramStart"/>
      <w:r>
        <w:t>rates;</w:t>
      </w:r>
      <w:proofErr w:type="gramEnd"/>
      <w:r>
        <w:t xml:space="preserve"> </w:t>
      </w:r>
    </w:p>
    <w:p w14:paraId="7BDC86F9" w14:textId="77777777" w:rsidR="009454EF" w:rsidRDefault="009454EF" w:rsidP="009454EF">
      <w:pPr>
        <w:numPr>
          <w:ilvl w:val="2"/>
          <w:numId w:val="13"/>
        </w:numPr>
        <w:spacing w:after="155" w:line="265" w:lineRule="auto"/>
        <w:ind w:hanging="360"/>
      </w:pPr>
      <w:r>
        <w:lastRenderedPageBreak/>
        <w:t>Chargeable rates for other personnel proposed. Where these can be identified as groups (</w:t>
      </w:r>
      <w:proofErr w:type="gramStart"/>
      <w:r>
        <w:t>e.g.</w:t>
      </w:r>
      <w:proofErr w:type="gramEnd"/>
      <w:r>
        <w:t xml:space="preserve"> administration, support etc.) then a group rate will suffice; </w:t>
      </w:r>
    </w:p>
    <w:p w14:paraId="56330ADF" w14:textId="77777777" w:rsidR="009454EF" w:rsidRDefault="009454EF" w:rsidP="009454EF">
      <w:pPr>
        <w:numPr>
          <w:ilvl w:val="2"/>
          <w:numId w:val="13"/>
        </w:numPr>
        <w:spacing w:after="110" w:line="265" w:lineRule="auto"/>
        <w:ind w:hanging="360"/>
      </w:pPr>
      <w:r>
        <w:t xml:space="preserve">Any further costs identified. </w:t>
      </w:r>
    </w:p>
    <w:p w14:paraId="7F34F622" w14:textId="77777777" w:rsidR="009454EF" w:rsidRDefault="009454EF" w:rsidP="009454EF">
      <w:pPr>
        <w:numPr>
          <w:ilvl w:val="0"/>
          <w:numId w:val="12"/>
        </w:numPr>
        <w:spacing w:after="0" w:line="265" w:lineRule="auto"/>
        <w:ind w:hanging="710"/>
      </w:pPr>
      <w:r>
        <w:t xml:space="preserve">A fully completed compliance check form (see Annex C) which provides the information necessary for HMRC to undertake the appropriate tax compliance checks. By providing the details requested on this form the tenderer consents to HMRC completing tax compliance checks on their organisation. The Sub-Contractors Revenue Compliance Consent form (see Annex E) will also be required where the supplier intends to use key subcontractors to deliver the service. </w:t>
      </w:r>
    </w:p>
    <w:p w14:paraId="2DD3707C" w14:textId="77777777" w:rsidR="009454EF" w:rsidRDefault="009454EF">
      <w:pPr>
        <w:spacing w:after="0" w:line="259" w:lineRule="auto"/>
        <w:ind w:left="1776"/>
      </w:pPr>
      <w:r>
        <w:t xml:space="preserve"> </w:t>
      </w:r>
    </w:p>
    <w:p w14:paraId="238F21E3" w14:textId="77777777" w:rsidR="009454EF" w:rsidRDefault="009454EF" w:rsidP="009454EF">
      <w:pPr>
        <w:numPr>
          <w:ilvl w:val="0"/>
          <w:numId w:val="12"/>
        </w:numPr>
        <w:spacing w:after="0" w:line="265" w:lineRule="auto"/>
        <w:ind w:hanging="710"/>
      </w:pPr>
      <w:r>
        <w:t xml:space="preserve">A fully completed security questionnaire, provided in Annex B.  The purpose of this is to outline the tenderer’s security arrangements.  This will not be evaluated to determine the highest-scoring tenderer as part of the tender, but as per 6.5 and 6.11 of this ITT, each tenderer will need to complete this in full prior to be considered for award. </w:t>
      </w:r>
    </w:p>
    <w:p w14:paraId="4513B6F7" w14:textId="77777777" w:rsidR="009454EF" w:rsidRDefault="009454EF">
      <w:pPr>
        <w:spacing w:after="0" w:line="259" w:lineRule="auto"/>
        <w:ind w:left="1776"/>
      </w:pPr>
      <w:r>
        <w:t xml:space="preserve"> </w:t>
      </w:r>
    </w:p>
    <w:p w14:paraId="205EEFBC" w14:textId="77777777" w:rsidR="009454EF" w:rsidRDefault="009454EF">
      <w:pPr>
        <w:ind w:left="1545" w:hanging="710"/>
      </w:pPr>
      <w:r>
        <w:t xml:space="preserve">13.2 Tenders should not exceed 25 pages (excluding annexes). Information included after this limit will not be considered. </w:t>
      </w:r>
    </w:p>
    <w:p w14:paraId="751FB624" w14:textId="77777777" w:rsidR="009454EF" w:rsidRDefault="009454EF">
      <w:pPr>
        <w:pStyle w:val="Heading2"/>
        <w:ind w:left="703"/>
      </w:pPr>
      <w:bookmarkStart w:id="88" w:name="_Toc25013"/>
      <w:r>
        <w:t xml:space="preserve">14 Alternative Bids </w:t>
      </w:r>
      <w:bookmarkEnd w:id="88"/>
    </w:p>
    <w:p w14:paraId="5C9B81C8" w14:textId="77777777" w:rsidR="009454EF" w:rsidRDefault="009454EF">
      <w:pPr>
        <w:ind w:left="1401" w:hanging="566"/>
      </w:pPr>
      <w:r>
        <w:t xml:space="preserve">14.1 HMRC will only accept one bid per tenderer in line with 4.1. We will not accept any additional alternative bids. </w:t>
      </w:r>
    </w:p>
    <w:p w14:paraId="54CEB57D" w14:textId="77777777" w:rsidR="009454EF" w:rsidRDefault="009454EF">
      <w:pPr>
        <w:spacing w:after="218" w:line="259" w:lineRule="auto"/>
        <w:ind w:left="1282"/>
      </w:pPr>
      <w:r>
        <w:t xml:space="preserve"> </w:t>
      </w:r>
    </w:p>
    <w:p w14:paraId="19156277" w14:textId="77777777" w:rsidR="009454EF" w:rsidRDefault="009454EF">
      <w:pPr>
        <w:pStyle w:val="Heading1"/>
        <w:spacing w:after="42"/>
        <w:ind w:left="703"/>
      </w:pPr>
      <w:bookmarkStart w:id="89" w:name="_Toc25014"/>
      <w:r>
        <w:rPr>
          <w:u w:val="single" w:color="000000"/>
        </w:rPr>
        <w:t>Evaluation Criteria</w:t>
      </w:r>
      <w:r>
        <w:t xml:space="preserve"> </w:t>
      </w:r>
      <w:bookmarkEnd w:id="89"/>
    </w:p>
    <w:p w14:paraId="646F31D7" w14:textId="77777777" w:rsidR="009454EF" w:rsidRDefault="009454EF">
      <w:pPr>
        <w:pStyle w:val="Heading2"/>
        <w:ind w:left="703"/>
      </w:pPr>
      <w:bookmarkStart w:id="90" w:name="_Toc25015"/>
      <w:r>
        <w:t xml:space="preserve">15 Tender Evaluation approach </w:t>
      </w:r>
      <w:bookmarkEnd w:id="90"/>
    </w:p>
    <w:p w14:paraId="18D7F14E" w14:textId="77777777" w:rsidR="009454EF" w:rsidRDefault="009454EF">
      <w:pPr>
        <w:ind w:left="1401" w:hanging="566"/>
      </w:pPr>
      <w:r>
        <w:t xml:space="preserve">15.1 HMRC will evaluate the contract based on MEAT. Quality forms 80 per cent and price 20 per cent of our assessment of MEAT.           </w:t>
      </w:r>
    </w:p>
    <w:p w14:paraId="2F50FBE7" w14:textId="77777777" w:rsidR="009454EF" w:rsidRDefault="009454EF">
      <w:pPr>
        <w:pStyle w:val="Heading2"/>
        <w:ind w:left="703"/>
      </w:pPr>
      <w:bookmarkStart w:id="91" w:name="_Toc25016"/>
      <w:r>
        <w:t xml:space="preserve">16 Quality criteria and how we assess quality </w:t>
      </w:r>
      <w:bookmarkEnd w:id="91"/>
    </w:p>
    <w:p w14:paraId="50DC9A18" w14:textId="77777777" w:rsidR="009454EF" w:rsidRDefault="009454EF">
      <w:pPr>
        <w:spacing w:after="0" w:line="259" w:lineRule="auto"/>
        <w:ind w:left="1428"/>
      </w:pPr>
      <w:r>
        <w:rPr>
          <w:rFonts w:ascii="Arial" w:eastAsia="Arial" w:hAnsi="Arial" w:cs="Arial"/>
          <w:b/>
        </w:rPr>
        <w:t xml:space="preserve"> </w:t>
      </w:r>
    </w:p>
    <w:p w14:paraId="3A106801" w14:textId="77777777" w:rsidR="009454EF" w:rsidRDefault="009454EF">
      <w:pPr>
        <w:spacing w:after="0"/>
        <w:ind w:left="1401" w:hanging="566"/>
      </w:pPr>
      <w:r>
        <w:t xml:space="preserve">16.1 The Tender will be evaluated by a minimum of 3 evaluators to determine the Quality score. </w:t>
      </w:r>
    </w:p>
    <w:p w14:paraId="2272CDAD" w14:textId="77777777" w:rsidR="009454EF" w:rsidRDefault="009454EF">
      <w:pPr>
        <w:spacing w:after="0" w:line="259" w:lineRule="auto"/>
        <w:ind w:left="1416"/>
      </w:pPr>
      <w:r>
        <w:t xml:space="preserve"> </w:t>
      </w:r>
    </w:p>
    <w:p w14:paraId="29491B20" w14:textId="77777777" w:rsidR="009454EF" w:rsidRDefault="009454EF">
      <w:pPr>
        <w:spacing w:after="0"/>
        <w:ind w:left="1401" w:hanging="566"/>
      </w:pPr>
      <w:r>
        <w:t xml:space="preserve">16.2 Quality will be assessed separately to cost. Quality criteria will be evaluated on a scale from 0 to 100 (where 0 = totally fails to meet the criteria and 100 = fully meets the requirement, with detailed explanation/evidence in support). A detailed breakdown of the evaluation methodology is as follows: </w:t>
      </w:r>
    </w:p>
    <w:tbl>
      <w:tblPr>
        <w:tblStyle w:val="TableGrid0"/>
        <w:tblW w:w="8884" w:type="dxa"/>
        <w:tblInd w:w="1321" w:type="dxa"/>
        <w:tblCellMar>
          <w:top w:w="56" w:type="dxa"/>
          <w:left w:w="107" w:type="dxa"/>
          <w:right w:w="41" w:type="dxa"/>
        </w:tblCellMar>
        <w:tblLook w:val="04A0" w:firstRow="1" w:lastRow="0" w:firstColumn="1" w:lastColumn="0" w:noHBand="0" w:noVBand="1"/>
      </w:tblPr>
      <w:tblGrid>
        <w:gridCol w:w="882"/>
        <w:gridCol w:w="8002"/>
      </w:tblGrid>
      <w:tr w:rsidR="009454EF" w14:paraId="52F41729" w14:textId="77777777">
        <w:trPr>
          <w:trHeight w:val="523"/>
        </w:trPr>
        <w:tc>
          <w:tcPr>
            <w:tcW w:w="882" w:type="dxa"/>
            <w:tcBorders>
              <w:top w:val="single" w:sz="4" w:space="0" w:color="000000"/>
              <w:left w:val="single" w:sz="4" w:space="0" w:color="000000"/>
              <w:bottom w:val="single" w:sz="4" w:space="0" w:color="000000"/>
              <w:right w:val="single" w:sz="4" w:space="0" w:color="000000"/>
            </w:tcBorders>
            <w:shd w:val="clear" w:color="auto" w:fill="A5A5A5"/>
            <w:vAlign w:val="center"/>
          </w:tcPr>
          <w:p w14:paraId="74A253B8" w14:textId="77777777" w:rsidR="009454EF" w:rsidRDefault="009454EF">
            <w:pPr>
              <w:spacing w:line="259" w:lineRule="auto"/>
              <w:jc w:val="both"/>
            </w:pPr>
            <w:r>
              <w:rPr>
                <w:rFonts w:ascii="Arial" w:eastAsia="Arial" w:hAnsi="Arial" w:cs="Arial"/>
                <w:b/>
              </w:rPr>
              <w:lastRenderedPageBreak/>
              <w:t xml:space="preserve">Score </w:t>
            </w:r>
          </w:p>
        </w:tc>
        <w:tc>
          <w:tcPr>
            <w:tcW w:w="8002" w:type="dxa"/>
            <w:tcBorders>
              <w:top w:val="single" w:sz="4" w:space="0" w:color="000000"/>
              <w:left w:val="single" w:sz="4" w:space="0" w:color="000000"/>
              <w:bottom w:val="single" w:sz="4" w:space="0" w:color="000000"/>
              <w:right w:val="single" w:sz="4" w:space="0" w:color="000000"/>
            </w:tcBorders>
            <w:shd w:val="clear" w:color="auto" w:fill="A5A5A5"/>
            <w:vAlign w:val="center"/>
          </w:tcPr>
          <w:p w14:paraId="1272A36C" w14:textId="77777777" w:rsidR="009454EF" w:rsidRDefault="009454EF">
            <w:pPr>
              <w:spacing w:line="259" w:lineRule="auto"/>
              <w:ind w:left="1"/>
            </w:pPr>
            <w:r>
              <w:rPr>
                <w:rFonts w:ascii="Arial" w:eastAsia="Arial" w:hAnsi="Arial" w:cs="Arial"/>
                <w:b/>
              </w:rPr>
              <w:t>‘Open’ Question Criteria</w:t>
            </w:r>
            <w:r>
              <w:rPr>
                <w:rFonts w:cs="Calibri"/>
                <w:b/>
              </w:rPr>
              <w:t xml:space="preserve"> </w:t>
            </w:r>
          </w:p>
        </w:tc>
      </w:tr>
      <w:tr w:rsidR="009454EF" w14:paraId="28ABF5B7" w14:textId="77777777">
        <w:trPr>
          <w:trHeight w:val="2339"/>
        </w:trPr>
        <w:tc>
          <w:tcPr>
            <w:tcW w:w="882" w:type="dxa"/>
            <w:tcBorders>
              <w:top w:val="single" w:sz="4" w:space="0" w:color="000000"/>
              <w:left w:val="single" w:sz="4" w:space="0" w:color="000000"/>
              <w:bottom w:val="single" w:sz="4" w:space="0" w:color="000000"/>
              <w:right w:val="single" w:sz="4" w:space="0" w:color="000000"/>
            </w:tcBorders>
          </w:tcPr>
          <w:p w14:paraId="7929712F" w14:textId="77777777" w:rsidR="009454EF" w:rsidRDefault="009454EF">
            <w:pPr>
              <w:spacing w:line="259" w:lineRule="auto"/>
            </w:pPr>
            <w:r>
              <w:t xml:space="preserve">100 </w:t>
            </w:r>
          </w:p>
        </w:tc>
        <w:tc>
          <w:tcPr>
            <w:tcW w:w="8002" w:type="dxa"/>
            <w:tcBorders>
              <w:top w:val="single" w:sz="4" w:space="0" w:color="000000"/>
              <w:left w:val="single" w:sz="4" w:space="0" w:color="000000"/>
              <w:bottom w:val="single" w:sz="4" w:space="0" w:color="000000"/>
              <w:right w:val="single" w:sz="4" w:space="0" w:color="000000"/>
            </w:tcBorders>
          </w:tcPr>
          <w:p w14:paraId="45E80A7D" w14:textId="77777777" w:rsidR="009454EF" w:rsidRDefault="009454EF">
            <w:pPr>
              <w:spacing w:after="2"/>
              <w:ind w:left="709" w:right="64" w:hanging="708"/>
              <w:jc w:val="both"/>
            </w:pPr>
            <w:r>
              <w:t xml:space="preserve">The response is excellent and completely relevant. The response is comprehensive, unambiguous and demonstrates an excellent understanding of, and meets, the requirements in all aspects, with no clarification required. The response is well thought out and/or provides </w:t>
            </w:r>
          </w:p>
          <w:p w14:paraId="71E74555" w14:textId="77777777" w:rsidR="009454EF" w:rsidRDefault="009454EF" w:rsidP="009454EF">
            <w:pPr>
              <w:numPr>
                <w:ilvl w:val="0"/>
                <w:numId w:val="16"/>
              </w:numPr>
              <w:spacing w:line="259" w:lineRule="auto"/>
              <w:ind w:hanging="360"/>
            </w:pPr>
            <w:r>
              <w:t xml:space="preserve">highly credible </w:t>
            </w:r>
            <w:proofErr w:type="gramStart"/>
            <w:r>
              <w:t>examples;</w:t>
            </w:r>
            <w:proofErr w:type="gramEnd"/>
            <w:r>
              <w:t xml:space="preserve"> </w:t>
            </w:r>
          </w:p>
          <w:p w14:paraId="505BCB9C" w14:textId="77777777" w:rsidR="009454EF" w:rsidRDefault="009454EF" w:rsidP="009454EF">
            <w:pPr>
              <w:numPr>
                <w:ilvl w:val="0"/>
                <w:numId w:val="16"/>
              </w:numPr>
              <w:spacing w:line="259" w:lineRule="auto"/>
              <w:ind w:hanging="360"/>
            </w:pPr>
            <w:r>
              <w:t xml:space="preserve">benefits; or  </w:t>
            </w:r>
          </w:p>
          <w:p w14:paraId="6C9EF1B7" w14:textId="77777777" w:rsidR="009454EF" w:rsidRDefault="009454EF" w:rsidP="009454EF">
            <w:pPr>
              <w:numPr>
                <w:ilvl w:val="0"/>
                <w:numId w:val="16"/>
              </w:numPr>
              <w:spacing w:line="259" w:lineRule="auto"/>
              <w:ind w:hanging="360"/>
            </w:pPr>
            <w:r>
              <w:t xml:space="preserve">innovation </w:t>
            </w:r>
          </w:p>
        </w:tc>
      </w:tr>
      <w:tr w:rsidR="009454EF" w14:paraId="29970D0E" w14:textId="77777777">
        <w:trPr>
          <w:trHeight w:val="1236"/>
        </w:trPr>
        <w:tc>
          <w:tcPr>
            <w:tcW w:w="882" w:type="dxa"/>
            <w:tcBorders>
              <w:top w:val="single" w:sz="4" w:space="0" w:color="000000"/>
              <w:left w:val="single" w:sz="4" w:space="0" w:color="000000"/>
              <w:bottom w:val="single" w:sz="4" w:space="0" w:color="000000"/>
              <w:right w:val="single" w:sz="4" w:space="0" w:color="000000"/>
            </w:tcBorders>
          </w:tcPr>
          <w:p w14:paraId="67FE2740" w14:textId="77777777" w:rsidR="009454EF" w:rsidRDefault="009454EF">
            <w:pPr>
              <w:spacing w:line="259" w:lineRule="auto"/>
            </w:pPr>
            <w:r>
              <w:t xml:space="preserve">80 </w:t>
            </w:r>
          </w:p>
        </w:tc>
        <w:tc>
          <w:tcPr>
            <w:tcW w:w="8002" w:type="dxa"/>
            <w:tcBorders>
              <w:top w:val="single" w:sz="4" w:space="0" w:color="000000"/>
              <w:left w:val="single" w:sz="4" w:space="0" w:color="000000"/>
              <w:bottom w:val="single" w:sz="4" w:space="0" w:color="000000"/>
              <w:right w:val="single" w:sz="4" w:space="0" w:color="000000"/>
            </w:tcBorders>
          </w:tcPr>
          <w:p w14:paraId="1C349DD1" w14:textId="77777777" w:rsidR="009454EF" w:rsidRDefault="009454EF">
            <w:pPr>
              <w:spacing w:line="259" w:lineRule="auto"/>
              <w:ind w:left="709" w:right="63" w:hanging="708"/>
              <w:jc w:val="both"/>
            </w:pPr>
            <w:r>
              <w:t xml:space="preserve">The response is good and highly relevant. The response indicates a good understanding of the requirements and provides sufficient detail across all areas. The response demonstrates how the requirements will be met in the main, which may require minor clarification only.  </w:t>
            </w:r>
          </w:p>
        </w:tc>
      </w:tr>
      <w:tr w:rsidR="009454EF" w14:paraId="20E857F7" w14:textId="77777777">
        <w:trPr>
          <w:trHeight w:val="1510"/>
        </w:trPr>
        <w:tc>
          <w:tcPr>
            <w:tcW w:w="882" w:type="dxa"/>
            <w:tcBorders>
              <w:top w:val="single" w:sz="4" w:space="0" w:color="000000"/>
              <w:left w:val="single" w:sz="4" w:space="0" w:color="000000"/>
              <w:bottom w:val="single" w:sz="4" w:space="0" w:color="000000"/>
              <w:right w:val="single" w:sz="4" w:space="0" w:color="000000"/>
            </w:tcBorders>
          </w:tcPr>
          <w:p w14:paraId="22DC996B" w14:textId="77777777" w:rsidR="009454EF" w:rsidRDefault="009454EF">
            <w:pPr>
              <w:spacing w:line="259" w:lineRule="auto"/>
            </w:pPr>
            <w:r>
              <w:t xml:space="preserve">60 </w:t>
            </w:r>
          </w:p>
        </w:tc>
        <w:tc>
          <w:tcPr>
            <w:tcW w:w="8002" w:type="dxa"/>
            <w:tcBorders>
              <w:top w:val="single" w:sz="4" w:space="0" w:color="000000"/>
              <w:left w:val="single" w:sz="4" w:space="0" w:color="000000"/>
              <w:bottom w:val="single" w:sz="4" w:space="0" w:color="000000"/>
              <w:right w:val="single" w:sz="4" w:space="0" w:color="000000"/>
            </w:tcBorders>
          </w:tcPr>
          <w:p w14:paraId="03F674B8" w14:textId="77777777" w:rsidR="009454EF" w:rsidRDefault="009454EF">
            <w:pPr>
              <w:spacing w:line="259" w:lineRule="auto"/>
              <w:ind w:left="709" w:right="62" w:hanging="708"/>
              <w:jc w:val="both"/>
            </w:pPr>
            <w:r>
              <w:t xml:space="preserve">The response is satisfactory and relevant. The response indicates a satisfactory understanding of the requirements in most aspects, although may lack detail in certain areas. The response suggests that the requirements would be met satisfactorily but may require some clarification. </w:t>
            </w:r>
          </w:p>
        </w:tc>
      </w:tr>
      <w:tr w:rsidR="009454EF" w14:paraId="5F549D86" w14:textId="77777777">
        <w:trPr>
          <w:trHeight w:val="1234"/>
        </w:trPr>
        <w:tc>
          <w:tcPr>
            <w:tcW w:w="882" w:type="dxa"/>
            <w:tcBorders>
              <w:top w:val="single" w:sz="4" w:space="0" w:color="000000"/>
              <w:left w:val="single" w:sz="4" w:space="0" w:color="000000"/>
              <w:bottom w:val="single" w:sz="4" w:space="0" w:color="000000"/>
              <w:right w:val="single" w:sz="4" w:space="0" w:color="000000"/>
            </w:tcBorders>
          </w:tcPr>
          <w:p w14:paraId="0C835D26" w14:textId="77777777" w:rsidR="009454EF" w:rsidRDefault="009454EF">
            <w:pPr>
              <w:spacing w:line="259" w:lineRule="auto"/>
            </w:pPr>
            <w:r>
              <w:t xml:space="preserve">40 </w:t>
            </w:r>
          </w:p>
        </w:tc>
        <w:tc>
          <w:tcPr>
            <w:tcW w:w="8002" w:type="dxa"/>
            <w:tcBorders>
              <w:top w:val="single" w:sz="4" w:space="0" w:color="000000"/>
              <w:left w:val="single" w:sz="4" w:space="0" w:color="000000"/>
              <w:bottom w:val="single" w:sz="4" w:space="0" w:color="000000"/>
              <w:right w:val="single" w:sz="4" w:space="0" w:color="000000"/>
            </w:tcBorders>
          </w:tcPr>
          <w:p w14:paraId="26993A0C" w14:textId="77777777" w:rsidR="009454EF" w:rsidRDefault="009454EF">
            <w:pPr>
              <w:spacing w:line="259" w:lineRule="auto"/>
              <w:ind w:left="709" w:right="62" w:hanging="708"/>
              <w:jc w:val="both"/>
            </w:pPr>
            <w:r>
              <w:t xml:space="preserve">The response is limited and partially relevant. The response indicates partial understanding of the requirement. The response contains ambiguities which suggests that the requirements would not be met unless significant revisions were made to the proposal. </w:t>
            </w:r>
          </w:p>
        </w:tc>
      </w:tr>
      <w:tr w:rsidR="009454EF" w14:paraId="02A6246A" w14:textId="77777777">
        <w:trPr>
          <w:trHeight w:val="1510"/>
        </w:trPr>
        <w:tc>
          <w:tcPr>
            <w:tcW w:w="882" w:type="dxa"/>
            <w:tcBorders>
              <w:top w:val="single" w:sz="4" w:space="0" w:color="000000"/>
              <w:left w:val="single" w:sz="4" w:space="0" w:color="000000"/>
              <w:bottom w:val="single" w:sz="4" w:space="0" w:color="000000"/>
              <w:right w:val="single" w:sz="4" w:space="0" w:color="000000"/>
            </w:tcBorders>
          </w:tcPr>
          <w:p w14:paraId="4C2BFC3D" w14:textId="77777777" w:rsidR="009454EF" w:rsidRDefault="009454EF">
            <w:pPr>
              <w:spacing w:line="259" w:lineRule="auto"/>
            </w:pPr>
            <w:r>
              <w:t xml:space="preserve">20 </w:t>
            </w:r>
          </w:p>
        </w:tc>
        <w:tc>
          <w:tcPr>
            <w:tcW w:w="8002" w:type="dxa"/>
            <w:tcBorders>
              <w:top w:val="single" w:sz="4" w:space="0" w:color="000000"/>
              <w:left w:val="single" w:sz="4" w:space="0" w:color="000000"/>
              <w:bottom w:val="single" w:sz="4" w:space="0" w:color="000000"/>
              <w:right w:val="single" w:sz="4" w:space="0" w:color="000000"/>
            </w:tcBorders>
          </w:tcPr>
          <w:p w14:paraId="4E7892D7" w14:textId="77777777" w:rsidR="009454EF" w:rsidRDefault="009454EF">
            <w:pPr>
              <w:spacing w:line="259" w:lineRule="auto"/>
              <w:ind w:left="709" w:right="64" w:hanging="708"/>
              <w:jc w:val="both"/>
            </w:pPr>
            <w:r>
              <w:t xml:space="preserve">The response is poor and only partially relevant. The response addresses some aspects of the requirements but contains insufficient/limited detail or explanation. The response demonstrates only limited understanding of the requirement. The response contains deficiencies which suggest the requirements would not be met.  </w:t>
            </w:r>
          </w:p>
        </w:tc>
      </w:tr>
      <w:tr w:rsidR="009454EF" w14:paraId="7E66553D" w14:textId="77777777">
        <w:trPr>
          <w:trHeight w:val="838"/>
        </w:trPr>
        <w:tc>
          <w:tcPr>
            <w:tcW w:w="882" w:type="dxa"/>
            <w:tcBorders>
              <w:top w:val="single" w:sz="4" w:space="0" w:color="000000"/>
              <w:left w:val="single" w:sz="4" w:space="0" w:color="000000"/>
              <w:bottom w:val="single" w:sz="4" w:space="0" w:color="000000"/>
              <w:right w:val="single" w:sz="4" w:space="0" w:color="000000"/>
            </w:tcBorders>
          </w:tcPr>
          <w:p w14:paraId="3ACFB5F9" w14:textId="77777777" w:rsidR="009454EF" w:rsidRDefault="009454EF">
            <w:pPr>
              <w:spacing w:line="259" w:lineRule="auto"/>
            </w:pPr>
            <w:r>
              <w:t xml:space="preserve">0 </w:t>
            </w:r>
          </w:p>
        </w:tc>
        <w:tc>
          <w:tcPr>
            <w:tcW w:w="8002" w:type="dxa"/>
            <w:tcBorders>
              <w:top w:val="single" w:sz="4" w:space="0" w:color="000000"/>
              <w:left w:val="single" w:sz="4" w:space="0" w:color="000000"/>
              <w:bottom w:val="single" w:sz="4" w:space="0" w:color="000000"/>
              <w:right w:val="single" w:sz="4" w:space="0" w:color="000000"/>
            </w:tcBorders>
          </w:tcPr>
          <w:p w14:paraId="4D84E587" w14:textId="77777777" w:rsidR="009454EF" w:rsidRDefault="009454EF">
            <w:pPr>
              <w:spacing w:line="259" w:lineRule="auto"/>
              <w:ind w:left="1" w:right="65"/>
              <w:jc w:val="both"/>
            </w:pPr>
            <w:r>
              <w:t xml:space="preserve">The response is not considered relevant. The response is unconvincing, flawed or otherwise unacceptable. Response fails to demonstrate an understanding of the requirement.   </w:t>
            </w:r>
          </w:p>
        </w:tc>
      </w:tr>
    </w:tbl>
    <w:p w14:paraId="36E10643" w14:textId="77777777" w:rsidR="009454EF" w:rsidRDefault="009454EF">
      <w:pPr>
        <w:spacing w:after="160" w:line="259" w:lineRule="auto"/>
        <w:ind w:left="1416"/>
      </w:pPr>
      <w:r>
        <w:t xml:space="preserve"> </w:t>
      </w:r>
    </w:p>
    <w:p w14:paraId="71BA10FA" w14:textId="77777777" w:rsidR="009454EF" w:rsidRDefault="009454EF">
      <w:pPr>
        <w:ind w:left="1401" w:hanging="566"/>
      </w:pPr>
      <w:r>
        <w:t xml:space="preserve">16.3 HMRC reserves the right to not consider for award a tender that scores below 60% in any of the quality criteria as listed at 16.5. Excluding Social Value, which will be scored from 0-100 as outlined above, however, scores below 60 will not result in exclusion. </w:t>
      </w:r>
    </w:p>
    <w:p w14:paraId="0A2A4275" w14:textId="77777777" w:rsidR="009454EF" w:rsidRDefault="009454EF">
      <w:pPr>
        <w:ind w:left="1401" w:hanging="566"/>
      </w:pPr>
      <w:r>
        <w:t xml:space="preserve">16.4 Tenderers must submit a written Tender demonstrating how they can best meet HMRC’s research and service delivery requirements as set out within sections 3-10 of this ITT. In their tender Tenderers will be evaluated on:  </w:t>
      </w:r>
    </w:p>
    <w:p w14:paraId="12442AE5" w14:textId="77777777" w:rsidR="009454EF" w:rsidRDefault="009454EF" w:rsidP="009454EF">
      <w:pPr>
        <w:numPr>
          <w:ilvl w:val="0"/>
          <w:numId w:val="15"/>
        </w:numPr>
        <w:spacing w:after="11" w:line="265" w:lineRule="auto"/>
        <w:ind w:hanging="360"/>
      </w:pPr>
      <w:r>
        <w:t xml:space="preserve">Addressing Aims &amp; Objectives (10%) </w:t>
      </w:r>
    </w:p>
    <w:p w14:paraId="5C2E42FF" w14:textId="77777777" w:rsidR="009454EF" w:rsidRDefault="009454EF" w:rsidP="009454EF">
      <w:pPr>
        <w:numPr>
          <w:ilvl w:val="1"/>
          <w:numId w:val="15"/>
        </w:numPr>
        <w:spacing w:after="11" w:line="265" w:lineRule="auto"/>
        <w:ind w:hanging="360"/>
      </w:pPr>
      <w:r>
        <w:lastRenderedPageBreak/>
        <w:t xml:space="preserve">The extent to which the proposed approach demonstrates that it will deliver in full the aims and objectives as specified in Section 3. </w:t>
      </w:r>
    </w:p>
    <w:p w14:paraId="75CD0620" w14:textId="77777777" w:rsidR="009454EF" w:rsidRDefault="009454EF" w:rsidP="009454EF">
      <w:pPr>
        <w:numPr>
          <w:ilvl w:val="1"/>
          <w:numId w:val="15"/>
        </w:numPr>
        <w:spacing w:after="0" w:line="265" w:lineRule="auto"/>
        <w:ind w:hanging="360"/>
      </w:pPr>
      <w:r>
        <w:t xml:space="preserve">The extent to which the tenderer demonstrates that they have understood the context and key issues for the project and have subsequently presented an approach which has been tailored to meet HMRC’s requirements.  </w:t>
      </w:r>
    </w:p>
    <w:p w14:paraId="5571037E" w14:textId="77777777" w:rsidR="009454EF" w:rsidRDefault="009454EF">
      <w:pPr>
        <w:spacing w:after="0" w:line="259" w:lineRule="auto"/>
        <w:ind w:left="2508"/>
      </w:pPr>
      <w:r>
        <w:t xml:space="preserve"> </w:t>
      </w:r>
    </w:p>
    <w:p w14:paraId="6B9FDB01" w14:textId="77777777" w:rsidR="009454EF" w:rsidRDefault="009454EF" w:rsidP="009454EF">
      <w:pPr>
        <w:numPr>
          <w:ilvl w:val="0"/>
          <w:numId w:val="15"/>
        </w:numPr>
        <w:spacing w:after="11" w:line="265" w:lineRule="auto"/>
        <w:ind w:hanging="360"/>
      </w:pPr>
      <w:r>
        <w:t xml:space="preserve">Methodology and scope (35%) </w:t>
      </w:r>
    </w:p>
    <w:p w14:paraId="6EA19438" w14:textId="77777777" w:rsidR="009454EF" w:rsidRDefault="009454EF" w:rsidP="009454EF">
      <w:pPr>
        <w:numPr>
          <w:ilvl w:val="1"/>
          <w:numId w:val="15"/>
        </w:numPr>
        <w:spacing w:after="11" w:line="265" w:lineRule="auto"/>
        <w:ind w:hanging="360"/>
      </w:pPr>
      <w:r>
        <w:t xml:space="preserve">The extent to which the proposed methodology meets the requirements as set out in Section 4 in full.  </w:t>
      </w:r>
    </w:p>
    <w:p w14:paraId="47C0270C" w14:textId="77777777" w:rsidR="009454EF" w:rsidRDefault="009454EF" w:rsidP="009454EF">
      <w:pPr>
        <w:numPr>
          <w:ilvl w:val="1"/>
          <w:numId w:val="15"/>
        </w:numPr>
        <w:spacing w:after="11" w:line="265" w:lineRule="auto"/>
        <w:ind w:hanging="360"/>
      </w:pPr>
      <w:r>
        <w:t xml:space="preserve">The extent to which the tenderer proposes an appropriate and effective recruitment strategy for the specified research participants  </w:t>
      </w:r>
    </w:p>
    <w:p w14:paraId="31A6D732" w14:textId="77777777" w:rsidR="009454EF" w:rsidRDefault="009454EF" w:rsidP="009454EF">
      <w:pPr>
        <w:numPr>
          <w:ilvl w:val="1"/>
          <w:numId w:val="15"/>
        </w:numPr>
        <w:spacing w:after="11" w:line="265" w:lineRule="auto"/>
        <w:ind w:hanging="360"/>
      </w:pPr>
      <w:r>
        <w:t xml:space="preserve">The extent to which data collection strategies maximise successful contact with the sample. </w:t>
      </w:r>
    </w:p>
    <w:p w14:paraId="689A58DA" w14:textId="77777777" w:rsidR="009454EF" w:rsidRDefault="009454EF" w:rsidP="009454EF">
      <w:pPr>
        <w:numPr>
          <w:ilvl w:val="1"/>
          <w:numId w:val="15"/>
        </w:numPr>
        <w:spacing w:after="11" w:line="265" w:lineRule="auto"/>
        <w:ind w:hanging="360"/>
      </w:pPr>
      <w:r>
        <w:t xml:space="preserve">The extent to which the tenderer can demonstrate that their approach incorporates proven methods to maximise response rates and manage recruitment risk. </w:t>
      </w:r>
    </w:p>
    <w:p w14:paraId="044F8C2C" w14:textId="77777777" w:rsidR="009454EF" w:rsidRDefault="009454EF" w:rsidP="009454EF">
      <w:pPr>
        <w:numPr>
          <w:ilvl w:val="1"/>
          <w:numId w:val="15"/>
        </w:numPr>
        <w:spacing w:after="11" w:line="265" w:lineRule="auto"/>
        <w:ind w:hanging="360"/>
      </w:pPr>
      <w:r>
        <w:t xml:space="preserve">The extent to which the approach to developing research tools meets the requirements for robust findings. </w:t>
      </w:r>
    </w:p>
    <w:p w14:paraId="7AC139D0" w14:textId="77777777" w:rsidR="009454EF" w:rsidRDefault="009454EF" w:rsidP="009454EF">
      <w:pPr>
        <w:numPr>
          <w:ilvl w:val="1"/>
          <w:numId w:val="15"/>
        </w:numPr>
        <w:spacing w:after="11" w:line="265" w:lineRule="auto"/>
        <w:ind w:hanging="360"/>
      </w:pPr>
      <w:r>
        <w:t xml:space="preserve">The extent to which the proposed outputs meet the requirements as set out in Section 7 in full, and the extent to which these have been tailored to best suit the aims and objectives.  </w:t>
      </w:r>
    </w:p>
    <w:p w14:paraId="61D3EBDA" w14:textId="77777777" w:rsidR="009454EF" w:rsidRDefault="009454EF" w:rsidP="009454EF">
      <w:pPr>
        <w:numPr>
          <w:ilvl w:val="1"/>
          <w:numId w:val="15"/>
        </w:numPr>
        <w:spacing w:after="0" w:line="265" w:lineRule="auto"/>
        <w:ind w:hanging="360"/>
      </w:pPr>
      <w:r>
        <w:t xml:space="preserve">The extent to which key risks to the project have been identified in the risk register and how effective the proposed mitigation strategies are in minimising the impact and/or likelihood of these risks. </w:t>
      </w:r>
    </w:p>
    <w:p w14:paraId="1A0BFDD0" w14:textId="77777777" w:rsidR="009454EF" w:rsidRDefault="009454EF">
      <w:pPr>
        <w:spacing w:after="0" w:line="259" w:lineRule="auto"/>
        <w:ind w:left="2508"/>
      </w:pPr>
      <w:r>
        <w:t xml:space="preserve"> </w:t>
      </w:r>
    </w:p>
    <w:p w14:paraId="5914D274" w14:textId="77777777" w:rsidR="009454EF" w:rsidRDefault="009454EF" w:rsidP="009454EF">
      <w:pPr>
        <w:numPr>
          <w:ilvl w:val="0"/>
          <w:numId w:val="15"/>
        </w:numPr>
        <w:spacing w:after="11" w:line="265" w:lineRule="auto"/>
        <w:ind w:hanging="360"/>
      </w:pPr>
      <w:r>
        <w:t xml:space="preserve">Delivery to Time (10%) </w:t>
      </w:r>
    </w:p>
    <w:p w14:paraId="0EDA8755" w14:textId="77777777" w:rsidR="009454EF" w:rsidRDefault="009454EF" w:rsidP="009454EF">
      <w:pPr>
        <w:numPr>
          <w:ilvl w:val="1"/>
          <w:numId w:val="15"/>
        </w:numPr>
        <w:spacing w:after="0" w:line="265" w:lineRule="auto"/>
        <w:ind w:hanging="360"/>
      </w:pPr>
      <w:r>
        <w:t xml:space="preserve">Whether the tenderer has satisfactorily demonstrated that their strategy will deliver each of the required activities as set out in Section 5 and any additional activities as outlined by the tenderer in their approach, in full within the required timelines or sooner. </w:t>
      </w:r>
    </w:p>
    <w:p w14:paraId="70867D86" w14:textId="77777777" w:rsidR="009454EF" w:rsidRDefault="009454EF">
      <w:pPr>
        <w:spacing w:after="2" w:line="259" w:lineRule="auto"/>
        <w:ind w:left="2508"/>
      </w:pPr>
      <w:r>
        <w:t xml:space="preserve"> </w:t>
      </w:r>
    </w:p>
    <w:p w14:paraId="728A7FFA" w14:textId="77777777" w:rsidR="009454EF" w:rsidRDefault="009454EF" w:rsidP="009454EF">
      <w:pPr>
        <w:numPr>
          <w:ilvl w:val="0"/>
          <w:numId w:val="15"/>
        </w:numPr>
        <w:spacing w:after="11" w:line="265" w:lineRule="auto"/>
        <w:ind w:hanging="360"/>
      </w:pPr>
      <w:r>
        <w:t xml:space="preserve">Team (10%) </w:t>
      </w:r>
    </w:p>
    <w:p w14:paraId="465C953A" w14:textId="77777777" w:rsidR="009454EF" w:rsidRDefault="009454EF" w:rsidP="009454EF">
      <w:pPr>
        <w:numPr>
          <w:ilvl w:val="1"/>
          <w:numId w:val="15"/>
        </w:numPr>
        <w:spacing w:after="155" w:line="265" w:lineRule="auto"/>
        <w:ind w:hanging="360"/>
      </w:pPr>
      <w:r>
        <w:t xml:space="preserve">The extent to which the tenderer can demonstrate that their proposed team meets the required experience and expertise in full as outlined in Section 9.  Please include the staffing level of each member of the team and the number of days given to each key stage of the project per team member in this section (but do not include the costs). </w:t>
      </w:r>
    </w:p>
    <w:p w14:paraId="68D5B233" w14:textId="77777777" w:rsidR="009454EF" w:rsidRDefault="009454EF" w:rsidP="009454EF">
      <w:pPr>
        <w:numPr>
          <w:ilvl w:val="1"/>
          <w:numId w:val="15"/>
        </w:numPr>
        <w:spacing w:after="0" w:line="265" w:lineRule="auto"/>
        <w:ind w:hanging="360"/>
      </w:pPr>
      <w:r>
        <w:t xml:space="preserve">The extent to which the tenderer demonstrates that their proposed team composition and team management approach will ensure that the team has the capacity to deliver the requirement in full, even during busy periods or in periods of absence and/or illness.  </w:t>
      </w:r>
    </w:p>
    <w:p w14:paraId="69225073" w14:textId="77777777" w:rsidR="009454EF" w:rsidRDefault="009454EF">
      <w:pPr>
        <w:spacing w:after="0" w:line="259" w:lineRule="auto"/>
        <w:ind w:left="2508"/>
      </w:pPr>
      <w:r>
        <w:t xml:space="preserve"> </w:t>
      </w:r>
    </w:p>
    <w:p w14:paraId="64754AA1" w14:textId="77777777" w:rsidR="009454EF" w:rsidRDefault="009454EF" w:rsidP="009454EF">
      <w:pPr>
        <w:numPr>
          <w:ilvl w:val="0"/>
          <w:numId w:val="15"/>
        </w:numPr>
        <w:spacing w:after="11" w:line="265" w:lineRule="auto"/>
        <w:ind w:hanging="360"/>
      </w:pPr>
      <w:r>
        <w:lastRenderedPageBreak/>
        <w:t xml:space="preserve">Quality standards (5%)  </w:t>
      </w:r>
    </w:p>
    <w:p w14:paraId="02BCF030" w14:textId="77777777" w:rsidR="009454EF" w:rsidRDefault="009454EF" w:rsidP="009454EF">
      <w:pPr>
        <w:numPr>
          <w:ilvl w:val="1"/>
          <w:numId w:val="15"/>
        </w:numPr>
        <w:spacing w:after="11" w:line="265" w:lineRule="auto"/>
        <w:ind w:hanging="360"/>
      </w:pPr>
      <w:r>
        <w:t xml:space="preserve">Whether the tenderer has satisfactorily demonstrated that they are able to meet the professional accreditation and/or quality standards as set out in Section 8. </w:t>
      </w:r>
    </w:p>
    <w:p w14:paraId="255711EB" w14:textId="77777777" w:rsidR="009454EF" w:rsidRDefault="009454EF" w:rsidP="009454EF">
      <w:pPr>
        <w:numPr>
          <w:ilvl w:val="1"/>
          <w:numId w:val="15"/>
        </w:numPr>
        <w:spacing w:after="0" w:line="265" w:lineRule="auto"/>
        <w:ind w:hanging="360"/>
      </w:pPr>
      <w:r>
        <w:t xml:space="preserve">The extent to which the quality control plan submitted by the tenderer satisfactorily demonstrates that the proposed internal procedures will effectively assure quality control as set out in clause 8.3 of the ITT. </w:t>
      </w:r>
    </w:p>
    <w:p w14:paraId="18572BDC" w14:textId="77777777" w:rsidR="009454EF" w:rsidRDefault="009454EF">
      <w:pPr>
        <w:spacing w:after="2" w:line="259" w:lineRule="auto"/>
        <w:ind w:left="708"/>
      </w:pPr>
      <w:r>
        <w:t xml:space="preserve"> </w:t>
      </w:r>
    </w:p>
    <w:p w14:paraId="633A45FA" w14:textId="77777777" w:rsidR="009454EF" w:rsidRDefault="009454EF">
      <w:pPr>
        <w:spacing w:after="11"/>
        <w:ind w:left="718"/>
      </w:pPr>
      <w:r>
        <w:t xml:space="preserve">g. Social Value (10%) </w:t>
      </w:r>
    </w:p>
    <w:p w14:paraId="4D9B645B" w14:textId="77777777" w:rsidR="009454EF" w:rsidRDefault="009454EF">
      <w:pPr>
        <w:spacing w:after="0"/>
        <w:ind w:left="2551" w:hanging="283"/>
      </w:pPr>
      <w:r>
        <w:rPr>
          <w:rFonts w:ascii="Segoe UI Symbol" w:eastAsia="Segoe UI Symbol" w:hAnsi="Segoe UI Symbol" w:cs="Segoe UI Symbol"/>
        </w:rPr>
        <w:t>•</w:t>
      </w:r>
      <w:r>
        <w:t xml:space="preserve"> Bidders are required to provide a response to all questions included in Annex D Social Value. Responses to each question must not exceed 800 words. </w:t>
      </w:r>
    </w:p>
    <w:p w14:paraId="5D65DD69" w14:textId="77777777" w:rsidR="009454EF" w:rsidRDefault="009454EF">
      <w:pPr>
        <w:spacing w:after="0" w:line="259" w:lineRule="auto"/>
        <w:ind w:left="708"/>
      </w:pPr>
      <w:r>
        <w:t xml:space="preserve"> </w:t>
      </w:r>
    </w:p>
    <w:p w14:paraId="27EBE3A2" w14:textId="77777777" w:rsidR="009454EF" w:rsidRDefault="009454EF">
      <w:pPr>
        <w:ind w:left="1401" w:hanging="566"/>
      </w:pPr>
      <w:r>
        <w:t xml:space="preserve">16.5 Tenderers should set out their tender according to the quality criteria set out under 16.4 but can add additional sections such as an introduction and summary. </w:t>
      </w:r>
    </w:p>
    <w:p w14:paraId="1F887334" w14:textId="77777777" w:rsidR="009454EF" w:rsidRDefault="009454EF">
      <w:pPr>
        <w:ind w:left="1401" w:hanging="566"/>
      </w:pPr>
      <w:r>
        <w:t xml:space="preserve">16.6 HMRC may invite Tenderers to clarify elements of their Tender as part of the process to assess the quality score.  </w:t>
      </w:r>
    </w:p>
    <w:p w14:paraId="50B851F4" w14:textId="77777777" w:rsidR="009454EF" w:rsidRDefault="009454EF">
      <w:pPr>
        <w:pStyle w:val="Heading2"/>
        <w:ind w:left="703"/>
      </w:pPr>
      <w:bookmarkStart w:id="92" w:name="_Toc25017"/>
      <w:r>
        <w:t xml:space="preserve">17 Price and how we assess price </w:t>
      </w:r>
      <w:bookmarkEnd w:id="92"/>
    </w:p>
    <w:p w14:paraId="4A2CE318" w14:textId="77777777" w:rsidR="009454EF" w:rsidRDefault="009454EF">
      <w:pPr>
        <w:spacing w:after="0" w:line="259" w:lineRule="auto"/>
        <w:ind w:left="1428"/>
      </w:pPr>
      <w:r>
        <w:rPr>
          <w:rFonts w:ascii="Arial" w:eastAsia="Arial" w:hAnsi="Arial" w:cs="Arial"/>
          <w:b/>
        </w:rPr>
        <w:t xml:space="preserve"> </w:t>
      </w:r>
    </w:p>
    <w:p w14:paraId="3710E750" w14:textId="77777777" w:rsidR="009454EF" w:rsidRDefault="009454EF">
      <w:pPr>
        <w:spacing w:after="0"/>
        <w:ind w:left="1401" w:hanging="566"/>
      </w:pPr>
      <w:r>
        <w:t xml:space="preserve">17.1 The budget available for this research is £160,000.  Tenderers are asked to submit costings within this budget.     </w:t>
      </w:r>
    </w:p>
    <w:p w14:paraId="1E86A881" w14:textId="77777777" w:rsidR="009454EF" w:rsidRDefault="009454EF">
      <w:pPr>
        <w:spacing w:after="0" w:line="259" w:lineRule="auto"/>
        <w:ind w:left="1416"/>
      </w:pPr>
      <w:r>
        <w:t xml:space="preserve"> </w:t>
      </w:r>
    </w:p>
    <w:p w14:paraId="2EFB186F" w14:textId="77777777" w:rsidR="009454EF" w:rsidRDefault="009454EF">
      <w:pPr>
        <w:spacing w:after="0"/>
        <w:ind w:left="1401" w:hanging="566"/>
      </w:pPr>
      <w:r>
        <w:t xml:space="preserve">17.2 Due to budgetary constraints, HMRC may not consider for award a Tender with a total cost exceeding £160,000. </w:t>
      </w:r>
    </w:p>
    <w:p w14:paraId="71E51D4F" w14:textId="77777777" w:rsidR="009454EF" w:rsidRDefault="009454EF">
      <w:pPr>
        <w:spacing w:after="0" w:line="259" w:lineRule="auto"/>
        <w:ind w:left="1416"/>
      </w:pPr>
      <w:r>
        <w:t xml:space="preserve"> </w:t>
      </w:r>
    </w:p>
    <w:p w14:paraId="7DA2485F" w14:textId="77777777" w:rsidR="009454EF" w:rsidRDefault="009454EF">
      <w:pPr>
        <w:spacing w:after="0"/>
        <w:ind w:left="718"/>
      </w:pPr>
      <w:r>
        <w:t xml:space="preserve">17.3 For evaluation purposes, price forms 20% of the tenderer’s overall score.  </w:t>
      </w:r>
    </w:p>
    <w:p w14:paraId="55BF5B46" w14:textId="77777777" w:rsidR="009454EF" w:rsidRDefault="009454EF">
      <w:pPr>
        <w:spacing w:after="0" w:line="259" w:lineRule="auto"/>
        <w:ind w:left="720"/>
      </w:pPr>
      <w:r>
        <w:t xml:space="preserve"> </w:t>
      </w:r>
    </w:p>
    <w:p w14:paraId="291D6286" w14:textId="77777777" w:rsidR="009454EF" w:rsidRDefault="009454EF">
      <w:pPr>
        <w:ind w:left="1416" w:hanging="708"/>
      </w:pPr>
      <w:r>
        <w:t xml:space="preserve">17.4 Tenderers must separately provide a firm total cost offer (excluding VAT) giving a breakdown of costs in ‘person days’ to each task, as outlined below. This should be sent separately from the main tender. Separate tables should be provided for the lead Tenderer and any sub-contractor. </w:t>
      </w:r>
    </w:p>
    <w:p w14:paraId="67597D34" w14:textId="77777777" w:rsidR="009454EF" w:rsidRDefault="009454EF">
      <w:pPr>
        <w:spacing w:after="160" w:line="259" w:lineRule="auto"/>
        <w:ind w:left="708"/>
      </w:pPr>
      <w:r>
        <w:t xml:space="preserve"> </w:t>
      </w:r>
    </w:p>
    <w:p w14:paraId="6F251B84" w14:textId="4DA31DC3" w:rsidR="009454EF" w:rsidRDefault="009454EF">
      <w:pPr>
        <w:spacing w:after="160" w:line="259" w:lineRule="auto"/>
        <w:ind w:left="708"/>
      </w:pPr>
      <w:r>
        <w:t xml:space="preserve"> </w:t>
      </w:r>
    </w:p>
    <w:p w14:paraId="05B9AF8A" w14:textId="3F8FF19D" w:rsidR="00503E45" w:rsidRDefault="00503E45">
      <w:pPr>
        <w:spacing w:after="160" w:line="259" w:lineRule="auto"/>
        <w:ind w:left="708"/>
      </w:pPr>
    </w:p>
    <w:p w14:paraId="1034DB85" w14:textId="56D63BBB" w:rsidR="00503E45" w:rsidRDefault="00503E45">
      <w:pPr>
        <w:spacing w:after="160" w:line="259" w:lineRule="auto"/>
        <w:ind w:left="708"/>
      </w:pPr>
    </w:p>
    <w:p w14:paraId="73BE5A89" w14:textId="68A41F4C" w:rsidR="00503E45" w:rsidRDefault="00503E45">
      <w:pPr>
        <w:spacing w:after="160" w:line="259" w:lineRule="auto"/>
        <w:ind w:left="708"/>
      </w:pPr>
    </w:p>
    <w:p w14:paraId="7B51853E" w14:textId="77777777" w:rsidR="00503E45" w:rsidRDefault="00503E45">
      <w:pPr>
        <w:spacing w:after="160" w:line="259" w:lineRule="auto"/>
        <w:ind w:left="708"/>
      </w:pPr>
    </w:p>
    <w:p w14:paraId="7D9D78CE" w14:textId="77777777" w:rsidR="009454EF" w:rsidRDefault="009454EF">
      <w:pPr>
        <w:spacing w:after="160" w:line="259" w:lineRule="auto"/>
        <w:ind w:left="708"/>
      </w:pPr>
      <w:r>
        <w:t xml:space="preserve"> </w:t>
      </w:r>
    </w:p>
    <w:p w14:paraId="1D307FBB" w14:textId="77777777" w:rsidR="009454EF" w:rsidRDefault="009454EF">
      <w:pPr>
        <w:spacing w:after="0" w:line="259" w:lineRule="auto"/>
        <w:ind w:left="708"/>
      </w:pPr>
      <w:r>
        <w:lastRenderedPageBreak/>
        <w:t xml:space="preserve"> </w:t>
      </w:r>
    </w:p>
    <w:p w14:paraId="68A0FD60" w14:textId="77777777" w:rsidR="009454EF" w:rsidRDefault="009454EF">
      <w:pPr>
        <w:spacing w:after="0" w:line="259" w:lineRule="auto"/>
        <w:ind w:left="708"/>
      </w:pPr>
      <w:r>
        <w:rPr>
          <w:shd w:val="clear" w:color="auto" w:fill="FFFF00"/>
        </w:rPr>
        <w:t>Team to specify detail of costs table</w:t>
      </w:r>
      <w:r>
        <w:t xml:space="preserve"> </w:t>
      </w:r>
    </w:p>
    <w:tbl>
      <w:tblPr>
        <w:tblStyle w:val="TableGrid0"/>
        <w:tblW w:w="8309" w:type="dxa"/>
        <w:tblInd w:w="1417" w:type="dxa"/>
        <w:tblCellMar>
          <w:top w:w="54" w:type="dxa"/>
          <w:left w:w="107" w:type="dxa"/>
          <w:right w:w="50" w:type="dxa"/>
        </w:tblCellMar>
        <w:tblLook w:val="04A0" w:firstRow="1" w:lastRow="0" w:firstColumn="1" w:lastColumn="0" w:noHBand="0" w:noVBand="1"/>
      </w:tblPr>
      <w:tblGrid>
        <w:gridCol w:w="2352"/>
        <w:gridCol w:w="1392"/>
        <w:gridCol w:w="1244"/>
        <w:gridCol w:w="1241"/>
        <w:gridCol w:w="1296"/>
        <w:gridCol w:w="784"/>
      </w:tblGrid>
      <w:tr w:rsidR="009454EF" w14:paraId="101C0D70" w14:textId="77777777">
        <w:trPr>
          <w:trHeight w:val="1112"/>
        </w:trPr>
        <w:tc>
          <w:tcPr>
            <w:tcW w:w="2552" w:type="dxa"/>
            <w:tcBorders>
              <w:top w:val="single" w:sz="4" w:space="0" w:color="000000"/>
              <w:left w:val="single" w:sz="4" w:space="0" w:color="000000"/>
              <w:bottom w:val="single" w:sz="4" w:space="0" w:color="000000"/>
              <w:right w:val="single" w:sz="4" w:space="0" w:color="000000"/>
            </w:tcBorders>
            <w:shd w:val="clear" w:color="auto" w:fill="008080"/>
          </w:tcPr>
          <w:p w14:paraId="032540EB" w14:textId="77777777" w:rsidR="009454EF" w:rsidRDefault="009454EF">
            <w:pPr>
              <w:spacing w:line="259" w:lineRule="auto"/>
            </w:pPr>
            <w:r>
              <w:rPr>
                <w:rFonts w:ascii="Arial" w:eastAsia="Arial" w:hAnsi="Arial" w:cs="Arial"/>
                <w:b/>
                <w:color w:val="FFFFFF"/>
              </w:rPr>
              <w:t xml:space="preserve">Activity </w:t>
            </w:r>
          </w:p>
        </w:tc>
        <w:tc>
          <w:tcPr>
            <w:tcW w:w="1416" w:type="dxa"/>
            <w:tcBorders>
              <w:top w:val="single" w:sz="4" w:space="0" w:color="000000"/>
              <w:left w:val="single" w:sz="4" w:space="0" w:color="000000"/>
              <w:bottom w:val="single" w:sz="4" w:space="0" w:color="000000"/>
              <w:right w:val="single" w:sz="4" w:space="0" w:color="000000"/>
            </w:tcBorders>
            <w:shd w:val="clear" w:color="auto" w:fill="008080"/>
          </w:tcPr>
          <w:p w14:paraId="47382035" w14:textId="77777777" w:rsidR="009454EF" w:rsidRDefault="009454EF">
            <w:pPr>
              <w:spacing w:line="259" w:lineRule="auto"/>
              <w:ind w:left="1"/>
            </w:pPr>
            <w:r>
              <w:rPr>
                <w:rFonts w:ascii="Arial" w:eastAsia="Arial" w:hAnsi="Arial" w:cs="Arial"/>
                <w:b/>
                <w:color w:val="FFFFFF"/>
              </w:rPr>
              <w:t xml:space="preserve">Personnel staffing level (grade) </w:t>
            </w:r>
          </w:p>
        </w:tc>
        <w:tc>
          <w:tcPr>
            <w:tcW w:w="1277" w:type="dxa"/>
            <w:tcBorders>
              <w:top w:val="single" w:sz="4" w:space="0" w:color="000000"/>
              <w:left w:val="single" w:sz="4" w:space="0" w:color="000000"/>
              <w:bottom w:val="single" w:sz="4" w:space="0" w:color="000000"/>
              <w:right w:val="single" w:sz="4" w:space="0" w:color="000000"/>
            </w:tcBorders>
            <w:shd w:val="clear" w:color="auto" w:fill="008080"/>
          </w:tcPr>
          <w:p w14:paraId="4F386ADF" w14:textId="77777777" w:rsidR="009454EF" w:rsidRDefault="009454EF">
            <w:pPr>
              <w:spacing w:line="259" w:lineRule="auto"/>
              <w:ind w:left="1"/>
            </w:pPr>
            <w:r>
              <w:rPr>
                <w:rFonts w:ascii="Arial" w:eastAsia="Arial" w:hAnsi="Arial" w:cs="Arial"/>
                <w:b/>
                <w:color w:val="FFFFFF"/>
              </w:rPr>
              <w:t xml:space="preserve">Number of days per team member </w:t>
            </w:r>
          </w:p>
        </w:tc>
        <w:tc>
          <w:tcPr>
            <w:tcW w:w="1274" w:type="dxa"/>
            <w:tcBorders>
              <w:top w:val="single" w:sz="4" w:space="0" w:color="000000"/>
              <w:left w:val="single" w:sz="4" w:space="0" w:color="000000"/>
              <w:bottom w:val="single" w:sz="4" w:space="0" w:color="000000"/>
              <w:right w:val="single" w:sz="4" w:space="0" w:color="000000"/>
            </w:tcBorders>
            <w:shd w:val="clear" w:color="auto" w:fill="008080"/>
          </w:tcPr>
          <w:p w14:paraId="4268C0C8" w14:textId="77777777" w:rsidR="009454EF" w:rsidRDefault="009454EF">
            <w:pPr>
              <w:spacing w:line="259" w:lineRule="auto"/>
              <w:ind w:left="1"/>
            </w:pPr>
            <w:r>
              <w:rPr>
                <w:rFonts w:ascii="Arial" w:eastAsia="Arial" w:hAnsi="Arial" w:cs="Arial"/>
                <w:b/>
                <w:color w:val="FFFFFF"/>
              </w:rPr>
              <w:t xml:space="preserve">Day rate per team member </w:t>
            </w:r>
          </w:p>
        </w:tc>
        <w:tc>
          <w:tcPr>
            <w:tcW w:w="991" w:type="dxa"/>
            <w:tcBorders>
              <w:top w:val="single" w:sz="4" w:space="0" w:color="000000"/>
              <w:left w:val="single" w:sz="4" w:space="0" w:color="000000"/>
              <w:bottom w:val="single" w:sz="4" w:space="0" w:color="000000"/>
              <w:right w:val="single" w:sz="4" w:space="0" w:color="000000"/>
            </w:tcBorders>
            <w:shd w:val="clear" w:color="auto" w:fill="008080"/>
          </w:tcPr>
          <w:p w14:paraId="47B89558" w14:textId="77777777" w:rsidR="009454EF" w:rsidRDefault="009454EF">
            <w:pPr>
              <w:spacing w:line="259" w:lineRule="auto"/>
              <w:ind w:left="1"/>
            </w:pPr>
            <w:r>
              <w:rPr>
                <w:rFonts w:ascii="Arial" w:eastAsia="Arial" w:hAnsi="Arial" w:cs="Arial"/>
                <w:b/>
                <w:color w:val="FFFFFF"/>
              </w:rPr>
              <w:t xml:space="preserve">Overheads </w:t>
            </w:r>
          </w:p>
        </w:tc>
        <w:tc>
          <w:tcPr>
            <w:tcW w:w="798" w:type="dxa"/>
            <w:tcBorders>
              <w:top w:val="single" w:sz="4" w:space="0" w:color="000000"/>
              <w:left w:val="single" w:sz="4" w:space="0" w:color="000000"/>
              <w:bottom w:val="single" w:sz="4" w:space="0" w:color="000000"/>
              <w:right w:val="single" w:sz="4" w:space="0" w:color="000000"/>
            </w:tcBorders>
            <w:shd w:val="clear" w:color="auto" w:fill="008080"/>
          </w:tcPr>
          <w:p w14:paraId="0F461EE6" w14:textId="77777777" w:rsidR="009454EF" w:rsidRDefault="009454EF">
            <w:pPr>
              <w:spacing w:line="259" w:lineRule="auto"/>
              <w:ind w:left="1"/>
            </w:pPr>
            <w:r>
              <w:rPr>
                <w:rFonts w:ascii="Arial" w:eastAsia="Arial" w:hAnsi="Arial" w:cs="Arial"/>
                <w:b/>
                <w:color w:val="FFFFFF"/>
              </w:rPr>
              <w:t xml:space="preserve">Total (£) </w:t>
            </w:r>
          </w:p>
        </w:tc>
      </w:tr>
      <w:tr w:rsidR="009454EF" w14:paraId="0E8E9ED5" w14:textId="77777777">
        <w:trPr>
          <w:trHeight w:val="325"/>
        </w:trPr>
        <w:tc>
          <w:tcPr>
            <w:tcW w:w="2552" w:type="dxa"/>
            <w:tcBorders>
              <w:top w:val="single" w:sz="4" w:space="0" w:color="000000"/>
              <w:left w:val="single" w:sz="4" w:space="0" w:color="000000"/>
              <w:bottom w:val="single" w:sz="4" w:space="0" w:color="000000"/>
              <w:right w:val="nil"/>
            </w:tcBorders>
            <w:shd w:val="clear" w:color="auto" w:fill="E7E6E6"/>
          </w:tcPr>
          <w:p w14:paraId="1F3C37CA" w14:textId="77777777" w:rsidR="009454EF" w:rsidRDefault="009454EF">
            <w:pPr>
              <w:spacing w:line="259" w:lineRule="auto"/>
            </w:pPr>
            <w:r>
              <w:rPr>
                <w:rFonts w:ascii="Arial" w:eastAsia="Arial" w:hAnsi="Arial" w:cs="Arial"/>
                <w:b/>
                <w:color w:val="FFFFFF"/>
              </w:rPr>
              <w:t xml:space="preserve"> </w:t>
            </w:r>
          </w:p>
        </w:tc>
        <w:tc>
          <w:tcPr>
            <w:tcW w:w="1416" w:type="dxa"/>
            <w:tcBorders>
              <w:top w:val="single" w:sz="4" w:space="0" w:color="000000"/>
              <w:left w:val="nil"/>
              <w:bottom w:val="single" w:sz="4" w:space="0" w:color="000000"/>
              <w:right w:val="nil"/>
            </w:tcBorders>
            <w:shd w:val="clear" w:color="auto" w:fill="E7E6E6"/>
          </w:tcPr>
          <w:p w14:paraId="6434F967" w14:textId="77777777" w:rsidR="009454EF" w:rsidRDefault="009454EF">
            <w:pPr>
              <w:spacing w:after="160" w:line="259" w:lineRule="auto"/>
            </w:pPr>
          </w:p>
        </w:tc>
        <w:tc>
          <w:tcPr>
            <w:tcW w:w="1277" w:type="dxa"/>
            <w:tcBorders>
              <w:top w:val="single" w:sz="4" w:space="0" w:color="000000"/>
              <w:left w:val="nil"/>
              <w:bottom w:val="single" w:sz="4" w:space="0" w:color="000000"/>
              <w:right w:val="nil"/>
            </w:tcBorders>
            <w:shd w:val="clear" w:color="auto" w:fill="E7E6E6"/>
          </w:tcPr>
          <w:p w14:paraId="5F50C706" w14:textId="77777777" w:rsidR="009454EF" w:rsidRDefault="009454EF">
            <w:pPr>
              <w:spacing w:after="160" w:line="259" w:lineRule="auto"/>
            </w:pPr>
          </w:p>
        </w:tc>
        <w:tc>
          <w:tcPr>
            <w:tcW w:w="1274" w:type="dxa"/>
            <w:tcBorders>
              <w:top w:val="single" w:sz="4" w:space="0" w:color="000000"/>
              <w:left w:val="nil"/>
              <w:bottom w:val="single" w:sz="4" w:space="0" w:color="000000"/>
              <w:right w:val="nil"/>
            </w:tcBorders>
            <w:shd w:val="clear" w:color="auto" w:fill="E7E6E6"/>
          </w:tcPr>
          <w:p w14:paraId="38F00C85" w14:textId="77777777" w:rsidR="009454EF" w:rsidRDefault="009454EF">
            <w:pPr>
              <w:spacing w:after="160" w:line="259" w:lineRule="auto"/>
            </w:pPr>
          </w:p>
        </w:tc>
        <w:tc>
          <w:tcPr>
            <w:tcW w:w="991" w:type="dxa"/>
            <w:tcBorders>
              <w:top w:val="single" w:sz="4" w:space="0" w:color="000000"/>
              <w:left w:val="nil"/>
              <w:bottom w:val="single" w:sz="4" w:space="0" w:color="000000"/>
              <w:right w:val="nil"/>
            </w:tcBorders>
            <w:shd w:val="clear" w:color="auto" w:fill="E7E6E6"/>
          </w:tcPr>
          <w:p w14:paraId="6C1D0DE6" w14:textId="77777777" w:rsidR="009454EF" w:rsidRDefault="009454EF">
            <w:pPr>
              <w:spacing w:after="160" w:line="259" w:lineRule="auto"/>
            </w:pPr>
          </w:p>
        </w:tc>
        <w:tc>
          <w:tcPr>
            <w:tcW w:w="798" w:type="dxa"/>
            <w:tcBorders>
              <w:top w:val="single" w:sz="4" w:space="0" w:color="000000"/>
              <w:left w:val="nil"/>
              <w:bottom w:val="single" w:sz="4" w:space="0" w:color="000000"/>
              <w:right w:val="single" w:sz="4" w:space="0" w:color="000000"/>
            </w:tcBorders>
            <w:shd w:val="clear" w:color="auto" w:fill="E7E6E6"/>
          </w:tcPr>
          <w:p w14:paraId="31AB2A9D" w14:textId="77777777" w:rsidR="009454EF" w:rsidRDefault="009454EF">
            <w:pPr>
              <w:spacing w:after="160" w:line="259" w:lineRule="auto"/>
            </w:pPr>
          </w:p>
        </w:tc>
      </w:tr>
      <w:tr w:rsidR="009454EF" w14:paraId="0A982FF0" w14:textId="77777777">
        <w:trPr>
          <w:trHeight w:val="328"/>
        </w:trPr>
        <w:tc>
          <w:tcPr>
            <w:tcW w:w="2552" w:type="dxa"/>
            <w:tcBorders>
              <w:top w:val="single" w:sz="4" w:space="0" w:color="000000"/>
              <w:left w:val="single" w:sz="4" w:space="0" w:color="000000"/>
              <w:bottom w:val="single" w:sz="4" w:space="0" w:color="000000"/>
              <w:right w:val="single" w:sz="4" w:space="0" w:color="000000"/>
            </w:tcBorders>
          </w:tcPr>
          <w:p w14:paraId="10700409" w14:textId="77777777" w:rsidR="009454EF" w:rsidRDefault="009454EF">
            <w:pPr>
              <w:spacing w:line="259" w:lineRule="auto"/>
            </w:pPr>
            <w: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345778A7" w14:textId="77777777" w:rsidR="009454EF" w:rsidRDefault="009454EF">
            <w:pPr>
              <w:spacing w:line="259" w:lineRule="auto"/>
              <w:ind w:left="1"/>
            </w:pPr>
            <w: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1ABC7F07" w14:textId="77777777" w:rsidR="009454EF" w:rsidRDefault="009454EF">
            <w:pPr>
              <w:spacing w:line="259" w:lineRule="auto"/>
              <w:ind w:left="1"/>
            </w:pPr>
            <w:r>
              <w:t xml:space="preserve"> </w:t>
            </w:r>
          </w:p>
        </w:tc>
        <w:tc>
          <w:tcPr>
            <w:tcW w:w="1274" w:type="dxa"/>
            <w:tcBorders>
              <w:top w:val="single" w:sz="4" w:space="0" w:color="000000"/>
              <w:left w:val="single" w:sz="4" w:space="0" w:color="000000"/>
              <w:bottom w:val="single" w:sz="4" w:space="0" w:color="000000"/>
              <w:right w:val="single" w:sz="4" w:space="0" w:color="000000"/>
            </w:tcBorders>
          </w:tcPr>
          <w:p w14:paraId="4C61F9A6" w14:textId="77777777" w:rsidR="009454EF" w:rsidRDefault="009454EF">
            <w:pPr>
              <w:spacing w:line="259" w:lineRule="auto"/>
              <w:ind w:left="1"/>
            </w:pPr>
            <w:r>
              <w:t xml:space="preserve"> </w:t>
            </w:r>
          </w:p>
        </w:tc>
        <w:tc>
          <w:tcPr>
            <w:tcW w:w="991" w:type="dxa"/>
            <w:tcBorders>
              <w:top w:val="single" w:sz="4" w:space="0" w:color="000000"/>
              <w:left w:val="single" w:sz="4" w:space="0" w:color="000000"/>
              <w:bottom w:val="single" w:sz="4" w:space="0" w:color="000000"/>
              <w:right w:val="single" w:sz="4" w:space="0" w:color="000000"/>
            </w:tcBorders>
          </w:tcPr>
          <w:p w14:paraId="65B3216E" w14:textId="77777777" w:rsidR="009454EF" w:rsidRDefault="009454EF">
            <w:pPr>
              <w:spacing w:line="259" w:lineRule="auto"/>
              <w:ind w:left="1"/>
            </w:pPr>
            <w:r>
              <w:t xml:space="preserve"> </w:t>
            </w:r>
          </w:p>
        </w:tc>
        <w:tc>
          <w:tcPr>
            <w:tcW w:w="798" w:type="dxa"/>
            <w:tcBorders>
              <w:top w:val="single" w:sz="4" w:space="0" w:color="000000"/>
              <w:left w:val="single" w:sz="4" w:space="0" w:color="000000"/>
              <w:bottom w:val="single" w:sz="4" w:space="0" w:color="000000"/>
              <w:right w:val="single" w:sz="4" w:space="0" w:color="000000"/>
            </w:tcBorders>
          </w:tcPr>
          <w:p w14:paraId="241667C8" w14:textId="77777777" w:rsidR="009454EF" w:rsidRDefault="009454EF">
            <w:pPr>
              <w:spacing w:line="259" w:lineRule="auto"/>
              <w:ind w:left="1"/>
            </w:pPr>
            <w:r>
              <w:t xml:space="preserve"> </w:t>
            </w:r>
          </w:p>
        </w:tc>
      </w:tr>
      <w:tr w:rsidR="009454EF" w14:paraId="3B1E76F2" w14:textId="77777777">
        <w:trPr>
          <w:trHeight w:val="324"/>
        </w:trPr>
        <w:tc>
          <w:tcPr>
            <w:tcW w:w="2552" w:type="dxa"/>
            <w:tcBorders>
              <w:top w:val="single" w:sz="4" w:space="0" w:color="000000"/>
              <w:left w:val="single" w:sz="4" w:space="0" w:color="000000"/>
              <w:bottom w:val="single" w:sz="4" w:space="0" w:color="000000"/>
              <w:right w:val="single" w:sz="4" w:space="0" w:color="000000"/>
            </w:tcBorders>
          </w:tcPr>
          <w:p w14:paraId="0B73BA38" w14:textId="77777777" w:rsidR="009454EF" w:rsidRDefault="009454EF">
            <w:pPr>
              <w:spacing w:line="259" w:lineRule="auto"/>
            </w:pPr>
            <w: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71BBBA60" w14:textId="77777777" w:rsidR="009454EF" w:rsidRDefault="009454EF">
            <w:pPr>
              <w:spacing w:line="259" w:lineRule="auto"/>
              <w:ind w:left="1"/>
            </w:pPr>
            <w: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49E9F261" w14:textId="77777777" w:rsidR="009454EF" w:rsidRDefault="009454EF">
            <w:pPr>
              <w:spacing w:line="259" w:lineRule="auto"/>
              <w:ind w:left="1"/>
            </w:pPr>
            <w:r>
              <w:t xml:space="preserve"> </w:t>
            </w:r>
          </w:p>
        </w:tc>
        <w:tc>
          <w:tcPr>
            <w:tcW w:w="1274" w:type="dxa"/>
            <w:tcBorders>
              <w:top w:val="single" w:sz="4" w:space="0" w:color="000000"/>
              <w:left w:val="single" w:sz="4" w:space="0" w:color="000000"/>
              <w:bottom w:val="single" w:sz="4" w:space="0" w:color="000000"/>
              <w:right w:val="single" w:sz="4" w:space="0" w:color="000000"/>
            </w:tcBorders>
          </w:tcPr>
          <w:p w14:paraId="2F0456AB" w14:textId="77777777" w:rsidR="009454EF" w:rsidRDefault="009454EF">
            <w:pPr>
              <w:spacing w:line="259" w:lineRule="auto"/>
              <w:ind w:left="1"/>
            </w:pPr>
            <w:r>
              <w:t xml:space="preserve"> </w:t>
            </w:r>
          </w:p>
        </w:tc>
        <w:tc>
          <w:tcPr>
            <w:tcW w:w="991" w:type="dxa"/>
            <w:tcBorders>
              <w:top w:val="single" w:sz="4" w:space="0" w:color="000000"/>
              <w:left w:val="single" w:sz="4" w:space="0" w:color="000000"/>
              <w:bottom w:val="single" w:sz="4" w:space="0" w:color="000000"/>
              <w:right w:val="single" w:sz="4" w:space="0" w:color="000000"/>
            </w:tcBorders>
          </w:tcPr>
          <w:p w14:paraId="547DB962" w14:textId="77777777" w:rsidR="009454EF" w:rsidRDefault="009454EF">
            <w:pPr>
              <w:spacing w:line="259" w:lineRule="auto"/>
              <w:ind w:left="1"/>
            </w:pPr>
            <w:r>
              <w:t xml:space="preserve"> </w:t>
            </w:r>
          </w:p>
        </w:tc>
        <w:tc>
          <w:tcPr>
            <w:tcW w:w="798" w:type="dxa"/>
            <w:tcBorders>
              <w:top w:val="single" w:sz="4" w:space="0" w:color="000000"/>
              <w:left w:val="single" w:sz="4" w:space="0" w:color="000000"/>
              <w:bottom w:val="single" w:sz="4" w:space="0" w:color="000000"/>
              <w:right w:val="single" w:sz="4" w:space="0" w:color="000000"/>
            </w:tcBorders>
          </w:tcPr>
          <w:p w14:paraId="763DC794" w14:textId="77777777" w:rsidR="009454EF" w:rsidRDefault="009454EF">
            <w:pPr>
              <w:spacing w:line="259" w:lineRule="auto"/>
              <w:ind w:left="1"/>
            </w:pPr>
            <w:r>
              <w:t xml:space="preserve"> </w:t>
            </w:r>
          </w:p>
        </w:tc>
      </w:tr>
      <w:tr w:rsidR="009454EF" w14:paraId="641D64D3" w14:textId="77777777">
        <w:trPr>
          <w:trHeight w:val="326"/>
        </w:trPr>
        <w:tc>
          <w:tcPr>
            <w:tcW w:w="2552" w:type="dxa"/>
            <w:tcBorders>
              <w:top w:val="single" w:sz="4" w:space="0" w:color="000000"/>
              <w:left w:val="single" w:sz="4" w:space="0" w:color="000000"/>
              <w:bottom w:val="single" w:sz="4" w:space="0" w:color="000000"/>
              <w:right w:val="single" w:sz="4" w:space="0" w:color="000000"/>
            </w:tcBorders>
          </w:tcPr>
          <w:p w14:paraId="1AC5F743" w14:textId="77777777" w:rsidR="009454EF" w:rsidRDefault="009454EF">
            <w:pPr>
              <w:spacing w:line="259" w:lineRule="auto"/>
            </w:pPr>
            <w: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37AB748C" w14:textId="77777777" w:rsidR="009454EF" w:rsidRDefault="009454EF">
            <w:pPr>
              <w:spacing w:line="259" w:lineRule="auto"/>
              <w:ind w:left="1"/>
            </w:pPr>
            <w: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47A2E2F8" w14:textId="77777777" w:rsidR="009454EF" w:rsidRDefault="009454EF">
            <w:pPr>
              <w:spacing w:line="259" w:lineRule="auto"/>
              <w:ind w:left="1"/>
            </w:pPr>
            <w:r>
              <w:t xml:space="preserve"> </w:t>
            </w:r>
          </w:p>
        </w:tc>
        <w:tc>
          <w:tcPr>
            <w:tcW w:w="1274" w:type="dxa"/>
            <w:tcBorders>
              <w:top w:val="single" w:sz="4" w:space="0" w:color="000000"/>
              <w:left w:val="single" w:sz="4" w:space="0" w:color="000000"/>
              <w:bottom w:val="single" w:sz="4" w:space="0" w:color="000000"/>
              <w:right w:val="single" w:sz="4" w:space="0" w:color="000000"/>
            </w:tcBorders>
          </w:tcPr>
          <w:p w14:paraId="4EEA2234" w14:textId="77777777" w:rsidR="009454EF" w:rsidRDefault="009454EF">
            <w:pPr>
              <w:spacing w:line="259" w:lineRule="auto"/>
              <w:ind w:left="1"/>
            </w:pPr>
            <w:r>
              <w:t xml:space="preserve"> </w:t>
            </w:r>
          </w:p>
        </w:tc>
        <w:tc>
          <w:tcPr>
            <w:tcW w:w="991" w:type="dxa"/>
            <w:tcBorders>
              <w:top w:val="single" w:sz="4" w:space="0" w:color="000000"/>
              <w:left w:val="single" w:sz="4" w:space="0" w:color="000000"/>
              <w:bottom w:val="single" w:sz="4" w:space="0" w:color="000000"/>
              <w:right w:val="single" w:sz="4" w:space="0" w:color="000000"/>
            </w:tcBorders>
          </w:tcPr>
          <w:p w14:paraId="072F0421" w14:textId="77777777" w:rsidR="009454EF" w:rsidRDefault="009454EF">
            <w:pPr>
              <w:spacing w:line="259" w:lineRule="auto"/>
              <w:ind w:left="1"/>
            </w:pPr>
            <w:r>
              <w:t xml:space="preserve"> </w:t>
            </w:r>
          </w:p>
        </w:tc>
        <w:tc>
          <w:tcPr>
            <w:tcW w:w="798" w:type="dxa"/>
            <w:tcBorders>
              <w:top w:val="single" w:sz="4" w:space="0" w:color="000000"/>
              <w:left w:val="single" w:sz="4" w:space="0" w:color="000000"/>
              <w:bottom w:val="single" w:sz="4" w:space="0" w:color="000000"/>
              <w:right w:val="single" w:sz="4" w:space="0" w:color="000000"/>
            </w:tcBorders>
          </w:tcPr>
          <w:p w14:paraId="31BE144C" w14:textId="77777777" w:rsidR="009454EF" w:rsidRDefault="009454EF">
            <w:pPr>
              <w:spacing w:line="259" w:lineRule="auto"/>
              <w:ind w:left="1"/>
            </w:pPr>
            <w:r>
              <w:t xml:space="preserve"> </w:t>
            </w:r>
          </w:p>
        </w:tc>
      </w:tr>
      <w:tr w:rsidR="009454EF" w14:paraId="71FEC1B5" w14:textId="77777777">
        <w:trPr>
          <w:trHeight w:val="326"/>
        </w:trPr>
        <w:tc>
          <w:tcPr>
            <w:tcW w:w="2552" w:type="dxa"/>
            <w:tcBorders>
              <w:top w:val="single" w:sz="4" w:space="0" w:color="000000"/>
              <w:left w:val="single" w:sz="4" w:space="0" w:color="000000"/>
              <w:bottom w:val="single" w:sz="4" w:space="0" w:color="000000"/>
              <w:right w:val="single" w:sz="4" w:space="0" w:color="000000"/>
            </w:tcBorders>
          </w:tcPr>
          <w:p w14:paraId="56B1DBDA" w14:textId="77777777" w:rsidR="009454EF" w:rsidRDefault="009454EF">
            <w:pPr>
              <w:spacing w:line="259" w:lineRule="auto"/>
            </w:pPr>
            <w: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004C14F0" w14:textId="77777777" w:rsidR="009454EF" w:rsidRDefault="009454EF">
            <w:pPr>
              <w:spacing w:line="259" w:lineRule="auto"/>
              <w:ind w:left="1"/>
            </w:pPr>
            <w: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01CBED65" w14:textId="77777777" w:rsidR="009454EF" w:rsidRDefault="009454EF">
            <w:pPr>
              <w:spacing w:line="259" w:lineRule="auto"/>
              <w:ind w:left="1"/>
            </w:pPr>
            <w:r>
              <w:t xml:space="preserve"> </w:t>
            </w:r>
          </w:p>
        </w:tc>
        <w:tc>
          <w:tcPr>
            <w:tcW w:w="1274" w:type="dxa"/>
            <w:tcBorders>
              <w:top w:val="single" w:sz="4" w:space="0" w:color="000000"/>
              <w:left w:val="single" w:sz="4" w:space="0" w:color="000000"/>
              <w:bottom w:val="single" w:sz="4" w:space="0" w:color="000000"/>
              <w:right w:val="single" w:sz="4" w:space="0" w:color="000000"/>
            </w:tcBorders>
          </w:tcPr>
          <w:p w14:paraId="075EE3A2" w14:textId="77777777" w:rsidR="009454EF" w:rsidRDefault="009454EF">
            <w:pPr>
              <w:spacing w:line="259" w:lineRule="auto"/>
              <w:ind w:left="1"/>
            </w:pPr>
            <w:r>
              <w:t xml:space="preserve"> </w:t>
            </w:r>
          </w:p>
        </w:tc>
        <w:tc>
          <w:tcPr>
            <w:tcW w:w="991" w:type="dxa"/>
            <w:tcBorders>
              <w:top w:val="single" w:sz="4" w:space="0" w:color="000000"/>
              <w:left w:val="single" w:sz="4" w:space="0" w:color="000000"/>
              <w:bottom w:val="single" w:sz="4" w:space="0" w:color="000000"/>
              <w:right w:val="single" w:sz="4" w:space="0" w:color="000000"/>
            </w:tcBorders>
          </w:tcPr>
          <w:p w14:paraId="5E4F7895" w14:textId="77777777" w:rsidR="009454EF" w:rsidRDefault="009454EF">
            <w:pPr>
              <w:spacing w:line="259" w:lineRule="auto"/>
              <w:ind w:left="1"/>
            </w:pPr>
            <w:r>
              <w:t xml:space="preserve"> </w:t>
            </w:r>
          </w:p>
        </w:tc>
        <w:tc>
          <w:tcPr>
            <w:tcW w:w="798" w:type="dxa"/>
            <w:tcBorders>
              <w:top w:val="single" w:sz="4" w:space="0" w:color="000000"/>
              <w:left w:val="single" w:sz="4" w:space="0" w:color="000000"/>
              <w:bottom w:val="single" w:sz="4" w:space="0" w:color="000000"/>
              <w:right w:val="single" w:sz="4" w:space="0" w:color="000000"/>
            </w:tcBorders>
          </w:tcPr>
          <w:p w14:paraId="29D1D5AB" w14:textId="77777777" w:rsidR="009454EF" w:rsidRDefault="009454EF">
            <w:pPr>
              <w:spacing w:line="259" w:lineRule="auto"/>
              <w:ind w:left="1"/>
            </w:pPr>
            <w:r>
              <w:t xml:space="preserve"> </w:t>
            </w:r>
          </w:p>
        </w:tc>
      </w:tr>
      <w:tr w:rsidR="009454EF" w14:paraId="332DAD68" w14:textId="77777777">
        <w:trPr>
          <w:trHeight w:val="326"/>
        </w:trPr>
        <w:tc>
          <w:tcPr>
            <w:tcW w:w="2552" w:type="dxa"/>
            <w:tcBorders>
              <w:top w:val="single" w:sz="4" w:space="0" w:color="000000"/>
              <w:left w:val="single" w:sz="4" w:space="0" w:color="000000"/>
              <w:bottom w:val="single" w:sz="4" w:space="0" w:color="000000"/>
              <w:right w:val="single" w:sz="4" w:space="0" w:color="000000"/>
            </w:tcBorders>
          </w:tcPr>
          <w:p w14:paraId="555A2C9F" w14:textId="77777777" w:rsidR="009454EF" w:rsidRDefault="009454EF">
            <w:pPr>
              <w:spacing w:line="259" w:lineRule="auto"/>
            </w:pPr>
            <w: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7F6EB0F1" w14:textId="77777777" w:rsidR="009454EF" w:rsidRDefault="009454EF">
            <w:pPr>
              <w:spacing w:line="259" w:lineRule="auto"/>
              <w:ind w:left="1"/>
            </w:pPr>
            <w: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5486FDF1" w14:textId="77777777" w:rsidR="009454EF" w:rsidRDefault="009454EF">
            <w:pPr>
              <w:spacing w:line="259" w:lineRule="auto"/>
              <w:ind w:left="1"/>
            </w:pPr>
            <w:r>
              <w:t xml:space="preserve"> </w:t>
            </w:r>
          </w:p>
        </w:tc>
        <w:tc>
          <w:tcPr>
            <w:tcW w:w="1274" w:type="dxa"/>
            <w:tcBorders>
              <w:top w:val="single" w:sz="4" w:space="0" w:color="000000"/>
              <w:left w:val="single" w:sz="4" w:space="0" w:color="000000"/>
              <w:bottom w:val="single" w:sz="4" w:space="0" w:color="000000"/>
              <w:right w:val="single" w:sz="4" w:space="0" w:color="000000"/>
            </w:tcBorders>
          </w:tcPr>
          <w:p w14:paraId="59C8F212" w14:textId="77777777" w:rsidR="009454EF" w:rsidRDefault="009454EF">
            <w:pPr>
              <w:spacing w:line="259" w:lineRule="auto"/>
              <w:ind w:left="1"/>
            </w:pPr>
            <w:r>
              <w:t xml:space="preserve"> </w:t>
            </w:r>
          </w:p>
        </w:tc>
        <w:tc>
          <w:tcPr>
            <w:tcW w:w="991" w:type="dxa"/>
            <w:tcBorders>
              <w:top w:val="single" w:sz="4" w:space="0" w:color="000000"/>
              <w:left w:val="single" w:sz="4" w:space="0" w:color="000000"/>
              <w:bottom w:val="single" w:sz="4" w:space="0" w:color="000000"/>
              <w:right w:val="single" w:sz="4" w:space="0" w:color="000000"/>
            </w:tcBorders>
          </w:tcPr>
          <w:p w14:paraId="0CFB8F7C" w14:textId="77777777" w:rsidR="009454EF" w:rsidRDefault="009454EF">
            <w:pPr>
              <w:spacing w:line="259" w:lineRule="auto"/>
              <w:ind w:left="1"/>
            </w:pPr>
            <w:r>
              <w:t xml:space="preserve"> </w:t>
            </w:r>
          </w:p>
        </w:tc>
        <w:tc>
          <w:tcPr>
            <w:tcW w:w="798" w:type="dxa"/>
            <w:tcBorders>
              <w:top w:val="single" w:sz="4" w:space="0" w:color="000000"/>
              <w:left w:val="single" w:sz="4" w:space="0" w:color="000000"/>
              <w:bottom w:val="single" w:sz="4" w:space="0" w:color="000000"/>
              <w:right w:val="single" w:sz="4" w:space="0" w:color="000000"/>
            </w:tcBorders>
          </w:tcPr>
          <w:p w14:paraId="29BC2D96" w14:textId="77777777" w:rsidR="009454EF" w:rsidRDefault="009454EF">
            <w:pPr>
              <w:spacing w:line="259" w:lineRule="auto"/>
              <w:ind w:left="1"/>
            </w:pPr>
            <w:r>
              <w:t xml:space="preserve"> </w:t>
            </w:r>
          </w:p>
        </w:tc>
      </w:tr>
      <w:tr w:rsidR="009454EF" w14:paraId="44FDFC0A" w14:textId="77777777">
        <w:trPr>
          <w:trHeight w:val="326"/>
        </w:trPr>
        <w:tc>
          <w:tcPr>
            <w:tcW w:w="2552" w:type="dxa"/>
            <w:tcBorders>
              <w:top w:val="single" w:sz="4" w:space="0" w:color="000000"/>
              <w:left w:val="single" w:sz="4" w:space="0" w:color="000000"/>
              <w:bottom w:val="single" w:sz="4" w:space="0" w:color="000000"/>
              <w:right w:val="single" w:sz="4" w:space="0" w:color="000000"/>
            </w:tcBorders>
          </w:tcPr>
          <w:p w14:paraId="7A62476B" w14:textId="77777777" w:rsidR="009454EF" w:rsidRDefault="009454EF">
            <w:pPr>
              <w:spacing w:line="259" w:lineRule="auto"/>
            </w:pPr>
            <w: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275ACF81" w14:textId="77777777" w:rsidR="009454EF" w:rsidRDefault="009454EF">
            <w:pPr>
              <w:spacing w:line="259" w:lineRule="auto"/>
              <w:ind w:left="1"/>
            </w:pPr>
            <w: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61D7569C" w14:textId="77777777" w:rsidR="009454EF" w:rsidRDefault="009454EF">
            <w:pPr>
              <w:spacing w:line="259" w:lineRule="auto"/>
              <w:ind w:left="1"/>
            </w:pPr>
            <w:r>
              <w:t xml:space="preserve"> </w:t>
            </w:r>
          </w:p>
        </w:tc>
        <w:tc>
          <w:tcPr>
            <w:tcW w:w="1274" w:type="dxa"/>
            <w:tcBorders>
              <w:top w:val="single" w:sz="4" w:space="0" w:color="000000"/>
              <w:left w:val="single" w:sz="4" w:space="0" w:color="000000"/>
              <w:bottom w:val="single" w:sz="4" w:space="0" w:color="000000"/>
              <w:right w:val="single" w:sz="4" w:space="0" w:color="000000"/>
            </w:tcBorders>
          </w:tcPr>
          <w:p w14:paraId="1D229B35" w14:textId="77777777" w:rsidR="009454EF" w:rsidRDefault="009454EF">
            <w:pPr>
              <w:spacing w:line="259" w:lineRule="auto"/>
              <w:ind w:left="1"/>
            </w:pPr>
            <w:r>
              <w:t xml:space="preserve"> </w:t>
            </w:r>
          </w:p>
        </w:tc>
        <w:tc>
          <w:tcPr>
            <w:tcW w:w="991" w:type="dxa"/>
            <w:tcBorders>
              <w:top w:val="single" w:sz="4" w:space="0" w:color="000000"/>
              <w:left w:val="single" w:sz="4" w:space="0" w:color="000000"/>
              <w:bottom w:val="single" w:sz="4" w:space="0" w:color="000000"/>
              <w:right w:val="single" w:sz="4" w:space="0" w:color="000000"/>
            </w:tcBorders>
          </w:tcPr>
          <w:p w14:paraId="53A8EF62" w14:textId="77777777" w:rsidR="009454EF" w:rsidRDefault="009454EF">
            <w:pPr>
              <w:spacing w:line="259" w:lineRule="auto"/>
              <w:ind w:left="1"/>
            </w:pPr>
            <w:r>
              <w:t xml:space="preserve"> </w:t>
            </w:r>
          </w:p>
        </w:tc>
        <w:tc>
          <w:tcPr>
            <w:tcW w:w="798" w:type="dxa"/>
            <w:tcBorders>
              <w:top w:val="single" w:sz="4" w:space="0" w:color="000000"/>
              <w:left w:val="single" w:sz="4" w:space="0" w:color="000000"/>
              <w:bottom w:val="single" w:sz="4" w:space="0" w:color="000000"/>
              <w:right w:val="single" w:sz="4" w:space="0" w:color="000000"/>
            </w:tcBorders>
          </w:tcPr>
          <w:p w14:paraId="12F4661C" w14:textId="77777777" w:rsidR="009454EF" w:rsidRDefault="009454EF">
            <w:pPr>
              <w:spacing w:line="259" w:lineRule="auto"/>
              <w:ind w:left="1"/>
            </w:pPr>
            <w:r>
              <w:t xml:space="preserve"> </w:t>
            </w:r>
          </w:p>
        </w:tc>
      </w:tr>
    </w:tbl>
    <w:p w14:paraId="5EBAEA7E" w14:textId="77777777" w:rsidR="009454EF" w:rsidRDefault="009454EF">
      <w:pPr>
        <w:spacing w:after="160" w:line="259" w:lineRule="auto"/>
        <w:ind w:left="1416"/>
      </w:pPr>
      <w:r>
        <w:t xml:space="preserve"> </w:t>
      </w:r>
    </w:p>
    <w:p w14:paraId="43C2BBF7" w14:textId="77777777" w:rsidR="009454EF" w:rsidRDefault="009454EF">
      <w:pPr>
        <w:ind w:left="1401" w:hanging="566"/>
      </w:pPr>
      <w:r>
        <w:t xml:space="preserve">17.5 For the avoidance of doubt, the unit costs/rate provided in the cost model at 17.4 must be the total cost of delivering that activity/service, inclusive of all third-party costs. </w:t>
      </w:r>
    </w:p>
    <w:p w14:paraId="20B1C48E" w14:textId="77777777" w:rsidR="009454EF" w:rsidRDefault="009454EF">
      <w:pPr>
        <w:ind w:left="1401" w:hanging="566"/>
      </w:pPr>
      <w:r>
        <w:t xml:space="preserve">17.6 Tenders that do not supply a schedule of costs in the format outlined above will not be accepted. Rows/columns can be added to the above table as necessary. </w:t>
      </w:r>
    </w:p>
    <w:p w14:paraId="5ECE3C8C" w14:textId="77777777" w:rsidR="009454EF" w:rsidRDefault="009454EF">
      <w:pPr>
        <w:ind w:left="1401" w:hanging="566"/>
      </w:pPr>
      <w:r>
        <w:t xml:space="preserve">17.7 HMRC may require additional meetings and presentations to those as itemised in paragraph 10.3 above. Tenderers must supply costs per meeting and presentation.   </w:t>
      </w:r>
    </w:p>
    <w:p w14:paraId="28F5B335" w14:textId="77777777" w:rsidR="009454EF" w:rsidRDefault="009454EF">
      <w:pPr>
        <w:ind w:left="1545" w:hanging="710"/>
      </w:pPr>
      <w:r>
        <w:t xml:space="preserve">17.8 If the decision not to continue with this project at any stage has additional costs associated, this must be clearly identified and a justification for these costs provided. Any additional costs identified will be subject to negotiation and agreement with HMRC prior to any contract being awarded.  </w:t>
      </w:r>
    </w:p>
    <w:p w14:paraId="74E8C4C1" w14:textId="77777777" w:rsidR="009454EF" w:rsidRDefault="009454EF">
      <w:pPr>
        <w:spacing w:after="160" w:line="259" w:lineRule="auto"/>
        <w:ind w:left="1560"/>
      </w:pPr>
      <w:r>
        <w:t xml:space="preserve"> </w:t>
      </w:r>
    </w:p>
    <w:p w14:paraId="20D10B6A" w14:textId="77777777" w:rsidR="009454EF" w:rsidRDefault="009454EF">
      <w:pPr>
        <w:pStyle w:val="Heading2"/>
        <w:ind w:left="703"/>
      </w:pPr>
      <w:bookmarkStart w:id="93" w:name="_Toc25018"/>
      <w:r>
        <w:t xml:space="preserve">18 Summary of evaluation criteria </w:t>
      </w:r>
      <w:bookmarkEnd w:id="93"/>
    </w:p>
    <w:p w14:paraId="0EAF992F" w14:textId="0171852D" w:rsidR="009454EF" w:rsidRDefault="009454EF">
      <w:pPr>
        <w:ind w:left="1401" w:hanging="566"/>
      </w:pPr>
      <w:r>
        <w:t xml:space="preserve">18.1 The scores for quality and cost will be added to provide an overall score from 0 to 100, as summarised below.  </w:t>
      </w:r>
      <w:r>
        <w:rPr>
          <w:rFonts w:ascii="Arial" w:eastAsia="Arial" w:hAnsi="Arial" w:cs="Arial"/>
          <w:i/>
        </w:rPr>
        <w:t xml:space="preserve"> </w:t>
      </w:r>
      <w:r>
        <w:t xml:space="preserve"> </w:t>
      </w:r>
    </w:p>
    <w:p w14:paraId="7B0EC751" w14:textId="01016292" w:rsidR="00503E45" w:rsidRDefault="00503E45">
      <w:pPr>
        <w:ind w:left="1401" w:hanging="566"/>
      </w:pPr>
    </w:p>
    <w:p w14:paraId="2D2F2886" w14:textId="053259FA" w:rsidR="00503E45" w:rsidRDefault="00503E45">
      <w:pPr>
        <w:ind w:left="1401" w:hanging="566"/>
      </w:pPr>
    </w:p>
    <w:p w14:paraId="77B27AC3" w14:textId="151C701C" w:rsidR="00503E45" w:rsidRDefault="00503E45">
      <w:pPr>
        <w:ind w:left="1401" w:hanging="566"/>
      </w:pPr>
    </w:p>
    <w:p w14:paraId="7F059532" w14:textId="143993C1" w:rsidR="00503E45" w:rsidRDefault="00503E45">
      <w:pPr>
        <w:ind w:left="1401" w:hanging="566"/>
      </w:pPr>
    </w:p>
    <w:p w14:paraId="7FE61EDD" w14:textId="77777777" w:rsidR="00503E45" w:rsidRDefault="00503E45">
      <w:pPr>
        <w:ind w:left="1401" w:hanging="566"/>
      </w:pPr>
    </w:p>
    <w:p w14:paraId="019451FB" w14:textId="77777777" w:rsidR="009454EF" w:rsidRDefault="009454EF">
      <w:pPr>
        <w:spacing w:after="0"/>
        <w:ind w:left="718"/>
      </w:pPr>
      <w:r>
        <w:lastRenderedPageBreak/>
        <w:t xml:space="preserve">Scoring Matrix: </w:t>
      </w:r>
    </w:p>
    <w:tbl>
      <w:tblPr>
        <w:tblStyle w:val="TableGrid0"/>
        <w:tblW w:w="9014" w:type="dxa"/>
        <w:tblInd w:w="714" w:type="dxa"/>
        <w:tblCellMar>
          <w:top w:w="51" w:type="dxa"/>
          <w:left w:w="107" w:type="dxa"/>
          <w:right w:w="115" w:type="dxa"/>
        </w:tblCellMar>
        <w:tblLook w:val="04A0" w:firstRow="1" w:lastRow="0" w:firstColumn="1" w:lastColumn="0" w:noHBand="0" w:noVBand="1"/>
      </w:tblPr>
      <w:tblGrid>
        <w:gridCol w:w="6610"/>
        <w:gridCol w:w="2404"/>
      </w:tblGrid>
      <w:tr w:rsidR="009454EF" w14:paraId="734D7C98" w14:textId="77777777">
        <w:trPr>
          <w:trHeight w:val="284"/>
        </w:trPr>
        <w:tc>
          <w:tcPr>
            <w:tcW w:w="6611" w:type="dxa"/>
            <w:tcBorders>
              <w:top w:val="single" w:sz="4" w:space="0" w:color="000000"/>
              <w:left w:val="single" w:sz="4" w:space="0" w:color="000000"/>
              <w:bottom w:val="single" w:sz="4" w:space="0" w:color="000000"/>
              <w:right w:val="single" w:sz="4" w:space="0" w:color="000000"/>
            </w:tcBorders>
            <w:shd w:val="clear" w:color="auto" w:fill="008080"/>
          </w:tcPr>
          <w:p w14:paraId="3219BC9D" w14:textId="77777777" w:rsidR="009454EF" w:rsidRDefault="009454EF">
            <w:pPr>
              <w:spacing w:line="259" w:lineRule="auto"/>
            </w:pPr>
            <w:r>
              <w:rPr>
                <w:rFonts w:ascii="Arial" w:eastAsia="Arial" w:hAnsi="Arial" w:cs="Arial"/>
                <w:b/>
                <w:color w:val="FFFFFF"/>
              </w:rPr>
              <w:t xml:space="preserve">Evaluation criteria </w:t>
            </w:r>
          </w:p>
        </w:tc>
        <w:tc>
          <w:tcPr>
            <w:tcW w:w="2404" w:type="dxa"/>
            <w:tcBorders>
              <w:top w:val="single" w:sz="4" w:space="0" w:color="000000"/>
              <w:left w:val="single" w:sz="4" w:space="0" w:color="000000"/>
              <w:bottom w:val="single" w:sz="4" w:space="0" w:color="000000"/>
              <w:right w:val="single" w:sz="4" w:space="0" w:color="000000"/>
            </w:tcBorders>
            <w:shd w:val="clear" w:color="auto" w:fill="008080"/>
          </w:tcPr>
          <w:p w14:paraId="20658FE1" w14:textId="77777777" w:rsidR="009454EF" w:rsidRDefault="009454EF">
            <w:pPr>
              <w:spacing w:line="259" w:lineRule="auto"/>
              <w:ind w:left="1"/>
            </w:pPr>
            <w:r>
              <w:rPr>
                <w:rFonts w:ascii="Arial" w:eastAsia="Arial" w:hAnsi="Arial" w:cs="Arial"/>
                <w:b/>
                <w:color w:val="FFFFFF"/>
              </w:rPr>
              <w:t xml:space="preserve">Weighting </w:t>
            </w:r>
          </w:p>
        </w:tc>
      </w:tr>
      <w:tr w:rsidR="009454EF" w14:paraId="3D0284E8" w14:textId="77777777">
        <w:trPr>
          <w:trHeight w:val="281"/>
        </w:trPr>
        <w:tc>
          <w:tcPr>
            <w:tcW w:w="6611" w:type="dxa"/>
            <w:tcBorders>
              <w:top w:val="single" w:sz="4" w:space="0" w:color="000000"/>
              <w:left w:val="single" w:sz="4" w:space="0" w:color="000000"/>
              <w:bottom w:val="nil"/>
              <w:right w:val="single" w:sz="4" w:space="0" w:color="000000"/>
            </w:tcBorders>
            <w:shd w:val="clear" w:color="auto" w:fill="E7E6E6"/>
          </w:tcPr>
          <w:p w14:paraId="7EB1D135" w14:textId="77777777" w:rsidR="009454EF" w:rsidRDefault="009454EF">
            <w:pPr>
              <w:spacing w:line="259" w:lineRule="auto"/>
            </w:pPr>
            <w:r>
              <w:rPr>
                <w:rFonts w:ascii="Arial" w:eastAsia="Arial" w:hAnsi="Arial" w:cs="Arial"/>
                <w:b/>
              </w:rPr>
              <w:t xml:space="preserve">Quality </w:t>
            </w:r>
          </w:p>
        </w:tc>
        <w:tc>
          <w:tcPr>
            <w:tcW w:w="2404" w:type="dxa"/>
            <w:tcBorders>
              <w:top w:val="single" w:sz="4" w:space="0" w:color="000000"/>
              <w:left w:val="single" w:sz="4" w:space="0" w:color="000000"/>
              <w:bottom w:val="nil"/>
              <w:right w:val="single" w:sz="4" w:space="0" w:color="000000"/>
            </w:tcBorders>
            <w:shd w:val="clear" w:color="auto" w:fill="E7E6E6"/>
          </w:tcPr>
          <w:p w14:paraId="06B3DBC3" w14:textId="77777777" w:rsidR="009454EF" w:rsidRDefault="009454EF">
            <w:pPr>
              <w:spacing w:line="259" w:lineRule="auto"/>
              <w:ind w:left="12"/>
              <w:jc w:val="center"/>
            </w:pPr>
            <w:r>
              <w:rPr>
                <w:rFonts w:ascii="Arial" w:eastAsia="Arial" w:hAnsi="Arial" w:cs="Arial"/>
                <w:b/>
              </w:rPr>
              <w:t xml:space="preserve">80% </w:t>
            </w:r>
          </w:p>
        </w:tc>
      </w:tr>
      <w:tr w:rsidR="009454EF" w14:paraId="39DB17DC" w14:textId="77777777">
        <w:trPr>
          <w:trHeight w:val="1662"/>
        </w:trPr>
        <w:tc>
          <w:tcPr>
            <w:tcW w:w="6611" w:type="dxa"/>
            <w:tcBorders>
              <w:top w:val="nil"/>
              <w:left w:val="single" w:sz="4" w:space="0" w:color="000000"/>
              <w:bottom w:val="single" w:sz="4" w:space="0" w:color="000000"/>
              <w:right w:val="single" w:sz="4" w:space="0" w:color="000000"/>
            </w:tcBorders>
          </w:tcPr>
          <w:p w14:paraId="24B1938C" w14:textId="77777777" w:rsidR="009454EF" w:rsidRDefault="009454EF" w:rsidP="009454EF">
            <w:pPr>
              <w:numPr>
                <w:ilvl w:val="0"/>
                <w:numId w:val="17"/>
              </w:numPr>
              <w:spacing w:line="259" w:lineRule="auto"/>
              <w:ind w:hanging="425"/>
            </w:pPr>
            <w:r>
              <w:t xml:space="preserve">Addressing aims &amp; objectives </w:t>
            </w:r>
          </w:p>
          <w:p w14:paraId="4B761E7A" w14:textId="77777777" w:rsidR="009454EF" w:rsidRDefault="009454EF" w:rsidP="009454EF">
            <w:pPr>
              <w:numPr>
                <w:ilvl w:val="0"/>
                <w:numId w:val="17"/>
              </w:numPr>
              <w:spacing w:line="259" w:lineRule="auto"/>
              <w:ind w:hanging="425"/>
            </w:pPr>
            <w:r>
              <w:t xml:space="preserve">Methodology &amp; scope </w:t>
            </w:r>
          </w:p>
          <w:p w14:paraId="0D7C0624" w14:textId="77777777" w:rsidR="009454EF" w:rsidRDefault="009454EF" w:rsidP="009454EF">
            <w:pPr>
              <w:numPr>
                <w:ilvl w:val="0"/>
                <w:numId w:val="17"/>
              </w:numPr>
              <w:spacing w:line="259" w:lineRule="auto"/>
              <w:ind w:hanging="425"/>
            </w:pPr>
            <w:r>
              <w:t xml:space="preserve">Delivery to Time </w:t>
            </w:r>
          </w:p>
          <w:p w14:paraId="6A04420E" w14:textId="77777777" w:rsidR="009454EF" w:rsidRDefault="009454EF" w:rsidP="009454EF">
            <w:pPr>
              <w:numPr>
                <w:ilvl w:val="0"/>
                <w:numId w:val="17"/>
              </w:numPr>
              <w:spacing w:line="259" w:lineRule="auto"/>
              <w:ind w:hanging="425"/>
            </w:pPr>
            <w:r>
              <w:t xml:space="preserve">Team </w:t>
            </w:r>
          </w:p>
          <w:p w14:paraId="40670F05" w14:textId="77777777" w:rsidR="009454EF" w:rsidRDefault="009454EF" w:rsidP="009454EF">
            <w:pPr>
              <w:numPr>
                <w:ilvl w:val="0"/>
                <w:numId w:val="17"/>
              </w:numPr>
              <w:spacing w:line="259" w:lineRule="auto"/>
              <w:ind w:hanging="425"/>
            </w:pPr>
            <w:r>
              <w:t xml:space="preserve">Quality standards </w:t>
            </w:r>
          </w:p>
          <w:p w14:paraId="4CB7F6ED" w14:textId="77777777" w:rsidR="009454EF" w:rsidRDefault="009454EF" w:rsidP="009454EF">
            <w:pPr>
              <w:numPr>
                <w:ilvl w:val="0"/>
                <w:numId w:val="17"/>
              </w:numPr>
              <w:spacing w:line="259" w:lineRule="auto"/>
              <w:ind w:hanging="425"/>
            </w:pPr>
            <w:r>
              <w:t xml:space="preserve">Social Value </w:t>
            </w:r>
          </w:p>
        </w:tc>
        <w:tc>
          <w:tcPr>
            <w:tcW w:w="2404" w:type="dxa"/>
            <w:tcBorders>
              <w:top w:val="nil"/>
              <w:left w:val="single" w:sz="4" w:space="0" w:color="000000"/>
              <w:bottom w:val="single" w:sz="4" w:space="0" w:color="000000"/>
              <w:right w:val="single" w:sz="4" w:space="0" w:color="000000"/>
            </w:tcBorders>
          </w:tcPr>
          <w:p w14:paraId="4888C035" w14:textId="77777777" w:rsidR="009454EF" w:rsidRDefault="009454EF">
            <w:pPr>
              <w:spacing w:line="259" w:lineRule="auto"/>
              <w:ind w:left="12"/>
              <w:jc w:val="center"/>
            </w:pPr>
            <w:r>
              <w:t xml:space="preserve">10% </w:t>
            </w:r>
          </w:p>
          <w:p w14:paraId="4142907D" w14:textId="77777777" w:rsidR="009454EF" w:rsidRDefault="009454EF">
            <w:pPr>
              <w:spacing w:line="259" w:lineRule="auto"/>
              <w:ind w:left="12"/>
              <w:jc w:val="center"/>
            </w:pPr>
            <w:r>
              <w:t xml:space="preserve">35% </w:t>
            </w:r>
          </w:p>
          <w:p w14:paraId="31ADE015" w14:textId="77777777" w:rsidR="009454EF" w:rsidRDefault="009454EF">
            <w:pPr>
              <w:spacing w:line="259" w:lineRule="auto"/>
              <w:ind w:left="12"/>
              <w:jc w:val="center"/>
            </w:pPr>
            <w:r>
              <w:t xml:space="preserve">10% </w:t>
            </w:r>
          </w:p>
          <w:p w14:paraId="767A42D8" w14:textId="77777777" w:rsidR="009454EF" w:rsidRDefault="009454EF">
            <w:pPr>
              <w:ind w:left="682" w:right="605"/>
              <w:jc w:val="center"/>
            </w:pPr>
            <w:r>
              <w:t xml:space="preserve">10% 5% </w:t>
            </w:r>
          </w:p>
          <w:p w14:paraId="4B6341AB" w14:textId="77777777" w:rsidR="009454EF" w:rsidRDefault="009454EF">
            <w:pPr>
              <w:spacing w:line="259" w:lineRule="auto"/>
              <w:ind w:left="12"/>
              <w:jc w:val="center"/>
            </w:pPr>
            <w:r>
              <w:t xml:space="preserve">10% </w:t>
            </w:r>
          </w:p>
        </w:tc>
      </w:tr>
      <w:tr w:rsidR="009454EF" w14:paraId="3DBAA0D7" w14:textId="77777777">
        <w:trPr>
          <w:trHeight w:val="284"/>
        </w:trPr>
        <w:tc>
          <w:tcPr>
            <w:tcW w:w="6611" w:type="dxa"/>
            <w:tcBorders>
              <w:top w:val="single" w:sz="4" w:space="0" w:color="000000"/>
              <w:left w:val="single" w:sz="4" w:space="0" w:color="000000"/>
              <w:bottom w:val="single" w:sz="4" w:space="0" w:color="000000"/>
              <w:right w:val="single" w:sz="4" w:space="0" w:color="000000"/>
            </w:tcBorders>
            <w:shd w:val="clear" w:color="auto" w:fill="E7E6E6"/>
          </w:tcPr>
          <w:p w14:paraId="252F2B7D" w14:textId="77777777" w:rsidR="009454EF" w:rsidRDefault="009454EF">
            <w:pPr>
              <w:spacing w:line="259" w:lineRule="auto"/>
            </w:pPr>
            <w:r>
              <w:rPr>
                <w:rFonts w:ascii="Arial" w:eastAsia="Arial" w:hAnsi="Arial" w:cs="Arial"/>
                <w:b/>
              </w:rPr>
              <w:t xml:space="preserve">Price </w:t>
            </w:r>
          </w:p>
        </w:tc>
        <w:tc>
          <w:tcPr>
            <w:tcW w:w="2404" w:type="dxa"/>
            <w:tcBorders>
              <w:top w:val="single" w:sz="4" w:space="0" w:color="000000"/>
              <w:left w:val="single" w:sz="4" w:space="0" w:color="000000"/>
              <w:bottom w:val="single" w:sz="4" w:space="0" w:color="000000"/>
              <w:right w:val="single" w:sz="4" w:space="0" w:color="000000"/>
            </w:tcBorders>
            <w:shd w:val="clear" w:color="auto" w:fill="E7E6E6"/>
          </w:tcPr>
          <w:p w14:paraId="1DA428B6" w14:textId="77777777" w:rsidR="009454EF" w:rsidRDefault="009454EF">
            <w:pPr>
              <w:spacing w:line="259" w:lineRule="auto"/>
              <w:ind w:left="12"/>
              <w:jc w:val="center"/>
            </w:pPr>
            <w:r>
              <w:rPr>
                <w:rFonts w:ascii="Arial" w:eastAsia="Arial" w:hAnsi="Arial" w:cs="Arial"/>
                <w:b/>
              </w:rPr>
              <w:t xml:space="preserve">20% </w:t>
            </w:r>
          </w:p>
        </w:tc>
      </w:tr>
      <w:tr w:rsidR="009454EF" w14:paraId="0FA72820" w14:textId="77777777">
        <w:trPr>
          <w:trHeight w:val="284"/>
        </w:trPr>
        <w:tc>
          <w:tcPr>
            <w:tcW w:w="6611" w:type="dxa"/>
            <w:tcBorders>
              <w:top w:val="single" w:sz="4" w:space="0" w:color="000000"/>
              <w:left w:val="single" w:sz="4" w:space="0" w:color="000000"/>
              <w:bottom w:val="single" w:sz="4" w:space="0" w:color="000000"/>
              <w:right w:val="single" w:sz="4" w:space="0" w:color="000000"/>
            </w:tcBorders>
            <w:shd w:val="clear" w:color="auto" w:fill="E7E6E6"/>
          </w:tcPr>
          <w:p w14:paraId="3BB91FF6" w14:textId="77777777" w:rsidR="009454EF" w:rsidRDefault="009454EF">
            <w:pPr>
              <w:spacing w:line="259" w:lineRule="auto"/>
            </w:pPr>
            <w:r>
              <w:rPr>
                <w:rFonts w:ascii="Arial" w:eastAsia="Arial" w:hAnsi="Arial" w:cs="Arial"/>
                <w:b/>
              </w:rPr>
              <w:t xml:space="preserve">Total </w:t>
            </w:r>
          </w:p>
        </w:tc>
        <w:tc>
          <w:tcPr>
            <w:tcW w:w="2404" w:type="dxa"/>
            <w:tcBorders>
              <w:top w:val="single" w:sz="4" w:space="0" w:color="000000"/>
              <w:left w:val="single" w:sz="4" w:space="0" w:color="000000"/>
              <w:bottom w:val="single" w:sz="4" w:space="0" w:color="000000"/>
              <w:right w:val="single" w:sz="4" w:space="0" w:color="000000"/>
            </w:tcBorders>
            <w:shd w:val="clear" w:color="auto" w:fill="E7E6E6"/>
          </w:tcPr>
          <w:p w14:paraId="480C01A0" w14:textId="77777777" w:rsidR="009454EF" w:rsidRDefault="009454EF">
            <w:pPr>
              <w:spacing w:line="259" w:lineRule="auto"/>
              <w:ind w:left="12"/>
              <w:jc w:val="center"/>
            </w:pPr>
            <w:r>
              <w:rPr>
                <w:rFonts w:ascii="Arial" w:eastAsia="Arial" w:hAnsi="Arial" w:cs="Arial"/>
                <w:b/>
              </w:rPr>
              <w:t xml:space="preserve">100% </w:t>
            </w:r>
          </w:p>
        </w:tc>
      </w:tr>
    </w:tbl>
    <w:p w14:paraId="1ABB14AA" w14:textId="77777777" w:rsidR="009454EF" w:rsidRDefault="009454EF">
      <w:pPr>
        <w:ind w:left="1545" w:hanging="710"/>
      </w:pPr>
      <w:r>
        <w:t xml:space="preserve">18.2 The tender with the highest overall mark will be selected by HMRC as the tendering organisation deemed to best meet the requirement and provide greatest value for money. </w:t>
      </w:r>
    </w:p>
    <w:p w14:paraId="16148AB6" w14:textId="77777777" w:rsidR="009454EF" w:rsidRDefault="009454EF">
      <w:pPr>
        <w:ind w:left="1545" w:hanging="710"/>
      </w:pPr>
      <w:r>
        <w:t xml:space="preserve">18.3 Clarifications with Tenderers may be required at any point of the tendering process </w:t>
      </w:r>
      <w:proofErr w:type="gramStart"/>
      <w:r>
        <w:t>in order to</w:t>
      </w:r>
      <w:proofErr w:type="gramEnd"/>
      <w:r>
        <w:t xml:space="preserve"> clarify any aspects of their proposals. </w:t>
      </w:r>
    </w:p>
    <w:p w14:paraId="2D1A3080" w14:textId="77777777" w:rsidR="009454EF" w:rsidRDefault="009454EF">
      <w:pPr>
        <w:pStyle w:val="Heading2"/>
        <w:ind w:left="703"/>
      </w:pPr>
      <w:bookmarkStart w:id="94" w:name="_Toc25019"/>
      <w:r>
        <w:t xml:space="preserve">19 Group Bids </w:t>
      </w:r>
      <w:bookmarkEnd w:id="94"/>
    </w:p>
    <w:p w14:paraId="60C363CF" w14:textId="77777777" w:rsidR="009454EF" w:rsidRDefault="009454EF">
      <w:pPr>
        <w:spacing w:after="0"/>
        <w:ind w:left="1545" w:right="78" w:hanging="710"/>
      </w:pPr>
      <w:r>
        <w:t xml:space="preserve">19.1 A single entity must </w:t>
      </w:r>
      <w:proofErr w:type="gramStart"/>
      <w:r>
        <w:t>enter into</w:t>
      </w:r>
      <w:proofErr w:type="gramEnd"/>
      <w:r>
        <w:t xml:space="preserve"> the contract. In the event of a group of service providers submitting an acceptable offer, the group will be required to nominate a lead partner with whom the Authority can </w:t>
      </w:r>
    </w:p>
    <w:p w14:paraId="42D8D6B6" w14:textId="77777777" w:rsidR="009454EF" w:rsidRDefault="009454EF">
      <w:pPr>
        <w:spacing w:after="0"/>
        <w:ind w:left="1570"/>
      </w:pPr>
      <w:r>
        <w:t xml:space="preserve">contract. Alternatively, the group will need to set up a special purpose vehicle (SPV) before contract signature. An undertaking that the group will so form themselves must be provided when the tender is submitted.   </w:t>
      </w:r>
    </w:p>
    <w:p w14:paraId="13B1EE25" w14:textId="77777777" w:rsidR="009454EF" w:rsidRDefault="009454EF">
      <w:pPr>
        <w:spacing w:after="0" w:line="259" w:lineRule="auto"/>
        <w:ind w:left="1560"/>
      </w:pPr>
      <w:r>
        <w:t xml:space="preserve"> </w:t>
      </w:r>
    </w:p>
    <w:p w14:paraId="2C09B5BE" w14:textId="77777777" w:rsidR="009454EF" w:rsidRDefault="009454EF">
      <w:pPr>
        <w:spacing w:after="0"/>
        <w:ind w:left="1545" w:right="793" w:hanging="710"/>
      </w:pPr>
      <w:r>
        <w:t xml:space="preserve">19.2 Where a group intends to form a SPV, as described above, they must provide the undertaking in the form of an electronic document (e.g., PDF), separate to other documents.  </w:t>
      </w:r>
    </w:p>
    <w:p w14:paraId="0B8E0BA0" w14:textId="77777777" w:rsidR="009454EF" w:rsidRDefault="009454EF">
      <w:pPr>
        <w:spacing w:after="0" w:line="259" w:lineRule="auto"/>
        <w:ind w:left="1560"/>
      </w:pPr>
      <w:r>
        <w:t xml:space="preserve"> </w:t>
      </w:r>
    </w:p>
    <w:p w14:paraId="6360A52E" w14:textId="77777777" w:rsidR="009454EF" w:rsidRDefault="009454EF">
      <w:pPr>
        <w:ind w:left="1545" w:right="157" w:hanging="710"/>
      </w:pPr>
      <w:r>
        <w:t xml:space="preserve">19.3 A fully completed compliance check form which provides the information necessary for HMRC to undertake the appropriate tax compliance checks, including the details of any proposed subcontractors and all group participants in the event of a group bid must be submitted with the tender. The Subcontractors Revenue Compliance Check form can be found in the ITT email.  </w:t>
      </w:r>
      <w:r>
        <w:rPr>
          <w:rFonts w:cs="Calibri"/>
        </w:rPr>
        <w:t xml:space="preserve"> </w:t>
      </w:r>
    </w:p>
    <w:p w14:paraId="3CD5FC4B" w14:textId="77777777" w:rsidR="009454EF" w:rsidRPr="00793CD9" w:rsidRDefault="009454EF" w:rsidP="00793CD9">
      <w:pPr>
        <w:pStyle w:val="GPSL2Numbered"/>
        <w:ind w:left="0" w:firstLine="0"/>
        <w:jc w:val="left"/>
        <w:rPr>
          <w:rFonts w:ascii="Arial" w:hAnsi="Arial"/>
          <w:sz w:val="24"/>
        </w:rPr>
      </w:pPr>
    </w:p>
    <w:sectPr w:rsidR="009454EF" w:rsidRPr="00793CD9">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B5B6C" w14:textId="77777777" w:rsidR="00000008" w:rsidRDefault="00000008">
      <w:pPr>
        <w:spacing w:after="0" w:line="240" w:lineRule="auto"/>
      </w:pPr>
      <w:r>
        <w:separator/>
      </w:r>
    </w:p>
  </w:endnote>
  <w:endnote w:type="continuationSeparator" w:id="0">
    <w:p w14:paraId="737F755D" w14:textId="77777777" w:rsidR="00000008" w:rsidRDefault="00000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C12E" w14:textId="77777777" w:rsidR="00793CD9" w:rsidRDefault="00793C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3B01B" w14:textId="77B0A371" w:rsidR="00FB1F1B" w:rsidRDefault="00793CD9" w:rsidP="00597414">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4E7B1458" wp14:editId="2F151565">
              <wp:simplePos x="0" y="0"/>
              <wp:positionH relativeFrom="page">
                <wp:posOffset>0</wp:posOffset>
              </wp:positionH>
              <wp:positionV relativeFrom="page">
                <wp:posOffset>10227945</wp:posOffset>
              </wp:positionV>
              <wp:extent cx="7560310" cy="273050"/>
              <wp:effectExtent l="0" t="0" r="0" b="12700"/>
              <wp:wrapNone/>
              <wp:docPr id="1" name="MSIPCM78374fbe83455b73c04865b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B99F94" w14:textId="15117312" w:rsidR="00793CD9" w:rsidRPr="00793CD9" w:rsidRDefault="00793CD9" w:rsidP="00793CD9">
                          <w:pPr>
                            <w:spacing w:after="0"/>
                            <w:jc w:val="center"/>
                            <w:rPr>
                              <w:rFonts w:cs="Calibri"/>
                              <w:color w:val="000000"/>
                              <w:sz w:val="20"/>
                            </w:rPr>
                          </w:pPr>
                          <w:r w:rsidRPr="00793CD9">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E7B1458" id="_x0000_t202" coordsize="21600,21600" o:spt="202" path="m,l,21600r21600,l21600,xe">
              <v:stroke joinstyle="miter"/>
              <v:path gradientshapeok="t" o:connecttype="rect"/>
            </v:shapetype>
            <v:shape id="MSIPCM78374fbe83455b73c04865b6"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FB99F94" w14:textId="15117312" w:rsidR="00793CD9" w:rsidRPr="00793CD9" w:rsidRDefault="00793CD9" w:rsidP="00793CD9">
                    <w:pPr>
                      <w:spacing w:after="0"/>
                      <w:jc w:val="center"/>
                      <w:rPr>
                        <w:rFonts w:cs="Calibri"/>
                        <w:color w:val="000000"/>
                        <w:sz w:val="20"/>
                      </w:rPr>
                    </w:pPr>
                    <w:r w:rsidRPr="00793CD9">
                      <w:rPr>
                        <w:rFonts w:cs="Calibri"/>
                        <w:color w:val="000000"/>
                        <w:sz w:val="20"/>
                      </w:rPr>
                      <w:t>OFFICIAL</w:t>
                    </w:r>
                  </w:p>
                </w:txbxContent>
              </v:textbox>
              <w10:wrap anchorx="page" anchory="page"/>
            </v:shape>
          </w:pict>
        </mc:Fallback>
      </mc:AlternateContent>
    </w:r>
  </w:p>
  <w:p w14:paraId="68A7E5C1" w14:textId="77777777"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0C261753" w14:textId="77777777"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14:paraId="2C598872" w14:textId="77777777"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ED836" w14:textId="77777777" w:rsidR="00793CD9" w:rsidRDefault="00793C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B1AD5" w14:textId="77777777" w:rsidR="00000008" w:rsidRDefault="00000008">
      <w:pPr>
        <w:spacing w:after="0" w:line="240" w:lineRule="auto"/>
      </w:pPr>
      <w:r>
        <w:separator/>
      </w:r>
    </w:p>
  </w:footnote>
  <w:footnote w:type="continuationSeparator" w:id="0">
    <w:p w14:paraId="29B83B7E" w14:textId="77777777" w:rsidR="00000008" w:rsidRDefault="00000008">
      <w:pPr>
        <w:spacing w:after="0" w:line="240" w:lineRule="auto"/>
      </w:pPr>
      <w:r>
        <w:continuationSeparator/>
      </w:r>
    </w:p>
  </w:footnote>
  <w:footnote w:id="1">
    <w:p w14:paraId="498474F3" w14:textId="77777777" w:rsidR="009454EF" w:rsidRDefault="009454EF">
      <w:pPr>
        <w:pStyle w:val="footnotedescription"/>
      </w:pPr>
      <w:r>
        <w:rPr>
          <w:rStyle w:val="footnotemark"/>
        </w:rPr>
        <w:footnoteRef/>
      </w:r>
      <w:r>
        <w:t xml:space="preserve"> </w:t>
      </w:r>
      <w:hyperlink r:id="rId1" w:anchor="children-in-low-income-households">
        <w:r>
          <w:t>Households below average income: an analysis of the income distribution FYE 1995 to FYE 2020</w:t>
        </w:r>
      </w:hyperlink>
      <w:hyperlink r:id="rId2" w:anchor="children-in-low-income-households">
        <w:r>
          <w:rPr>
            <w:color w:val="000000"/>
            <w:u w:val="none" w:color="000000"/>
          </w:rPr>
          <w:t xml:space="preserve"> </w:t>
        </w:r>
      </w:hyperlink>
      <w:r>
        <w:rPr>
          <w:color w:val="000000"/>
          <w:u w:val="none" w:color="000000"/>
        </w:rPr>
        <w:t xml:space="preserve">(DWP National Statistics, 2021). </w:t>
      </w:r>
    </w:p>
  </w:footnote>
  <w:footnote w:id="2">
    <w:p w14:paraId="79875FB9" w14:textId="77777777" w:rsidR="009454EF" w:rsidRDefault="009454EF">
      <w:pPr>
        <w:pStyle w:val="footnotedescription"/>
        <w:spacing w:line="253" w:lineRule="auto"/>
      </w:pPr>
      <w:r>
        <w:rPr>
          <w:rStyle w:val="footnotemark"/>
        </w:rPr>
        <w:footnoteRef/>
      </w:r>
      <w:r>
        <w:t xml:space="preserve"> </w:t>
      </w:r>
      <w:hyperlink r:id="rId3">
        <w:r>
          <w:t>Income Tax liabilities statistics: tax year 2019 to 2020 to tax year 2022 to 2023</w:t>
        </w:r>
      </w:hyperlink>
      <w:hyperlink r:id="rId4">
        <w:r>
          <w:rPr>
            <w:color w:val="000000"/>
            <w:u w:val="none" w:color="000000"/>
          </w:rPr>
          <w:t>,</w:t>
        </w:r>
      </w:hyperlink>
      <w:r>
        <w:rPr>
          <w:color w:val="000000"/>
          <w:u w:val="none" w:color="000000"/>
        </w:rPr>
        <w:t xml:space="preserve"> (HMRC Statistics, 2022). </w:t>
      </w:r>
    </w:p>
  </w:footnote>
  <w:footnote w:id="3">
    <w:p w14:paraId="5970270E" w14:textId="77777777" w:rsidR="009454EF" w:rsidRDefault="009454EF">
      <w:pPr>
        <w:pStyle w:val="footnotedescription"/>
        <w:spacing w:line="258" w:lineRule="auto"/>
      </w:pPr>
      <w:r>
        <w:rPr>
          <w:rStyle w:val="footnotemark"/>
        </w:rPr>
        <w:footnoteRef/>
      </w:r>
      <w:r>
        <w:t xml:space="preserve"> </w:t>
      </w:r>
      <w:hyperlink r:id="rId5">
        <w:r>
          <w:t>https://www.gov.uk/government/publications/ots-evaluation-paper-on-the-high-income-child-benefit</w:t>
        </w:r>
      </w:hyperlink>
      <w:hyperlink r:id="rId6">
        <w:r>
          <w:t>charge</w:t>
        </w:r>
      </w:hyperlink>
      <w:hyperlink r:id="rId7">
        <w:r>
          <w:rPr>
            <w:color w:val="000000"/>
            <w:u w:val="none" w:color="000000"/>
          </w:rPr>
          <w:t xml:space="preserve"> </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FD8F5" w14:textId="77777777" w:rsidR="00793CD9" w:rsidRDefault="00793C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A74F9" w14:textId="77777777"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14:paraId="40062456" w14:textId="77777777"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p>
  <w:p w14:paraId="46ACD3B4" w14:textId="77777777" w:rsidR="005C04C4" w:rsidRPr="005C04C4" w:rsidRDefault="00F00591">
    <w:pPr>
      <w:pStyle w:val="Header"/>
      <w:rPr>
        <w:rFonts w:ascii="Arial" w:hAnsi="Arial" w:cs="Arial"/>
        <w:sz w:val="20"/>
        <w:szCs w:val="20"/>
      </w:rPr>
    </w:pPr>
    <w:r>
      <w:rPr>
        <w:rFonts w:ascii="Arial" w:hAnsi="Arial" w:cs="Arial"/>
        <w:sz w:val="20"/>
        <w:szCs w:val="20"/>
      </w:rPr>
      <w:t>Crown Copyright 2021</w:t>
    </w:r>
  </w:p>
  <w:p w14:paraId="6F427FC6" w14:textId="77777777" w:rsidR="005C04C4" w:rsidRPr="005C04C4" w:rsidRDefault="005C04C4">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E4DFF" w14:textId="77777777" w:rsidR="00793CD9" w:rsidRDefault="00793C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1AB1A2D"/>
    <w:multiLevelType w:val="hybridMultilevel"/>
    <w:tmpl w:val="C292F634"/>
    <w:lvl w:ilvl="0" w:tplc="F2DA2FE4">
      <w:start w:val="1"/>
      <w:numFmt w:val="bullet"/>
      <w:lvlText w:val="•"/>
      <w:lvlJc w:val="left"/>
      <w:pPr>
        <w:ind w:left="7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A08E714">
      <w:start w:val="1"/>
      <w:numFmt w:val="bullet"/>
      <w:lvlText w:val="o"/>
      <w:lvlJc w:val="left"/>
      <w:pPr>
        <w:ind w:left="15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C7E6210">
      <w:start w:val="1"/>
      <w:numFmt w:val="bullet"/>
      <w:lvlText w:val="▪"/>
      <w:lvlJc w:val="left"/>
      <w:pPr>
        <w:ind w:left="22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E60E7A0">
      <w:start w:val="1"/>
      <w:numFmt w:val="bullet"/>
      <w:lvlText w:val="•"/>
      <w:lvlJc w:val="left"/>
      <w:pPr>
        <w:ind w:left="29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F6B9BA">
      <w:start w:val="1"/>
      <w:numFmt w:val="bullet"/>
      <w:lvlText w:val="o"/>
      <w:lvlJc w:val="left"/>
      <w:pPr>
        <w:ind w:left="37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A5284E8">
      <w:start w:val="1"/>
      <w:numFmt w:val="bullet"/>
      <w:lvlText w:val="▪"/>
      <w:lvlJc w:val="left"/>
      <w:pPr>
        <w:ind w:left="44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DBA1898">
      <w:start w:val="1"/>
      <w:numFmt w:val="bullet"/>
      <w:lvlText w:val="•"/>
      <w:lvlJc w:val="left"/>
      <w:pPr>
        <w:ind w:left="51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2A8A97A">
      <w:start w:val="1"/>
      <w:numFmt w:val="bullet"/>
      <w:lvlText w:val="o"/>
      <w:lvlJc w:val="left"/>
      <w:pPr>
        <w:ind w:left="58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6423C14">
      <w:start w:val="1"/>
      <w:numFmt w:val="bullet"/>
      <w:lvlText w:val="▪"/>
      <w:lvlJc w:val="left"/>
      <w:pPr>
        <w:ind w:left="65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F387A94"/>
    <w:multiLevelType w:val="hybridMultilevel"/>
    <w:tmpl w:val="B3D4707E"/>
    <w:lvl w:ilvl="0" w:tplc="0B38BEBA">
      <w:start w:val="1"/>
      <w:numFmt w:val="lowerLetter"/>
      <w:lvlText w:val="%1."/>
      <w:lvlJc w:val="left"/>
      <w:pPr>
        <w:ind w:left="2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4121C3E">
      <w:start w:val="1"/>
      <w:numFmt w:val="lowerLetter"/>
      <w:lvlText w:val="%2"/>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C58BFEA">
      <w:start w:val="1"/>
      <w:numFmt w:val="lowerRoman"/>
      <w:lvlText w:val="%3"/>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B1615C4">
      <w:start w:val="1"/>
      <w:numFmt w:val="decimal"/>
      <w:lvlText w:val="%4"/>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F188CE2">
      <w:start w:val="1"/>
      <w:numFmt w:val="lowerLetter"/>
      <w:lvlText w:val="%5"/>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F346322">
      <w:start w:val="1"/>
      <w:numFmt w:val="lowerRoman"/>
      <w:lvlText w:val="%6"/>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4B249AC">
      <w:start w:val="1"/>
      <w:numFmt w:val="decimal"/>
      <w:lvlText w:val="%7"/>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1EAA04">
      <w:start w:val="1"/>
      <w:numFmt w:val="lowerLetter"/>
      <w:lvlText w:val="%8"/>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3E005E6">
      <w:start w:val="1"/>
      <w:numFmt w:val="lowerRoman"/>
      <w:lvlText w:val="%9"/>
      <w:lvlJc w:val="left"/>
      <w:pPr>
        <w:ind w:left="72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6D5232"/>
    <w:multiLevelType w:val="multilevel"/>
    <w:tmpl w:val="436AC650"/>
    <w:lvl w:ilvl="0">
      <w:start w:val="7"/>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40A7931"/>
    <w:multiLevelType w:val="hybridMultilevel"/>
    <w:tmpl w:val="2996CE1A"/>
    <w:lvl w:ilvl="0" w:tplc="490A8906">
      <w:start w:val="1"/>
      <w:numFmt w:val="lowerLetter"/>
      <w:lvlText w:val="%1."/>
      <w:lvlJc w:val="left"/>
      <w:pPr>
        <w:ind w:left="21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BDEAFE4">
      <w:start w:val="1"/>
      <w:numFmt w:val="lowerLetter"/>
      <w:lvlText w:val="%2"/>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6A01840">
      <w:start w:val="1"/>
      <w:numFmt w:val="lowerRoman"/>
      <w:lvlText w:val="%3"/>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EEE475E">
      <w:start w:val="1"/>
      <w:numFmt w:val="decimal"/>
      <w:lvlText w:val="%4"/>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53290AC">
      <w:start w:val="1"/>
      <w:numFmt w:val="lowerLetter"/>
      <w:lvlText w:val="%5"/>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B0C0F8">
      <w:start w:val="1"/>
      <w:numFmt w:val="lowerRoman"/>
      <w:lvlText w:val="%6"/>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4DCAB34">
      <w:start w:val="1"/>
      <w:numFmt w:val="decimal"/>
      <w:lvlText w:val="%7"/>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4CABBC">
      <w:start w:val="1"/>
      <w:numFmt w:val="lowerLetter"/>
      <w:lvlText w:val="%8"/>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B5CA7E2">
      <w:start w:val="1"/>
      <w:numFmt w:val="lowerRoman"/>
      <w:lvlText w:val="%9"/>
      <w:lvlJc w:val="left"/>
      <w:pPr>
        <w:ind w:left="6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5CE277C"/>
    <w:multiLevelType w:val="hybridMultilevel"/>
    <w:tmpl w:val="FA16AA72"/>
    <w:lvl w:ilvl="0" w:tplc="6F047862">
      <w:start w:val="1"/>
      <w:numFmt w:val="lowerLetter"/>
      <w:lvlText w:val="%1."/>
      <w:lvlJc w:val="left"/>
      <w:pPr>
        <w:ind w:left="21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E668732">
      <w:start w:val="1"/>
      <w:numFmt w:val="lowerLetter"/>
      <w:lvlText w:val="%2"/>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35CC892">
      <w:start w:val="1"/>
      <w:numFmt w:val="lowerRoman"/>
      <w:lvlText w:val="%3"/>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5AEFCCC">
      <w:start w:val="1"/>
      <w:numFmt w:val="decimal"/>
      <w:lvlText w:val="%4"/>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FC66D0">
      <w:start w:val="1"/>
      <w:numFmt w:val="lowerLetter"/>
      <w:lvlText w:val="%5"/>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2CC08FA">
      <w:start w:val="1"/>
      <w:numFmt w:val="lowerRoman"/>
      <w:lvlText w:val="%6"/>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144DB0C">
      <w:start w:val="1"/>
      <w:numFmt w:val="decimal"/>
      <w:lvlText w:val="%7"/>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340E1E4">
      <w:start w:val="1"/>
      <w:numFmt w:val="lowerLetter"/>
      <w:lvlText w:val="%8"/>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78232B4">
      <w:start w:val="1"/>
      <w:numFmt w:val="lowerRoman"/>
      <w:lvlText w:val="%9"/>
      <w:lvlJc w:val="left"/>
      <w:pPr>
        <w:ind w:left="6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70E388D"/>
    <w:multiLevelType w:val="hybridMultilevel"/>
    <w:tmpl w:val="4CF00FA0"/>
    <w:lvl w:ilvl="0" w:tplc="D0D2A422">
      <w:start w:val="1"/>
      <w:numFmt w:val="lowerLetter"/>
      <w:lvlText w:val="%1)"/>
      <w:lvlJc w:val="left"/>
      <w:pPr>
        <w:ind w:left="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F0874DE">
      <w:start w:val="1"/>
      <w:numFmt w:val="lowerLetter"/>
      <w:lvlText w:val="%2"/>
      <w:lvlJc w:val="left"/>
      <w:pPr>
        <w:ind w:left="11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3A4221C">
      <w:start w:val="1"/>
      <w:numFmt w:val="lowerRoman"/>
      <w:lvlText w:val="%3"/>
      <w:lvlJc w:val="left"/>
      <w:pPr>
        <w:ind w:left="1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2EE861A">
      <w:start w:val="1"/>
      <w:numFmt w:val="decimal"/>
      <w:lvlText w:val="%4"/>
      <w:lvlJc w:val="left"/>
      <w:pPr>
        <w:ind w:left="26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B748E80">
      <w:start w:val="1"/>
      <w:numFmt w:val="lowerLetter"/>
      <w:lvlText w:val="%5"/>
      <w:lvlJc w:val="left"/>
      <w:pPr>
        <w:ind w:left="33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59A3114">
      <w:start w:val="1"/>
      <w:numFmt w:val="lowerRoman"/>
      <w:lvlText w:val="%6"/>
      <w:lvlJc w:val="left"/>
      <w:pPr>
        <w:ind w:left="40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89A9298">
      <w:start w:val="1"/>
      <w:numFmt w:val="decimal"/>
      <w:lvlText w:val="%7"/>
      <w:lvlJc w:val="left"/>
      <w:pPr>
        <w:ind w:left="47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BB2A352">
      <w:start w:val="1"/>
      <w:numFmt w:val="lowerLetter"/>
      <w:lvlText w:val="%8"/>
      <w:lvlJc w:val="left"/>
      <w:pPr>
        <w:ind w:left="5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0340E4E">
      <w:start w:val="1"/>
      <w:numFmt w:val="lowerRoman"/>
      <w:lvlText w:val="%9"/>
      <w:lvlJc w:val="left"/>
      <w:pPr>
        <w:ind w:left="6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6B50328"/>
    <w:multiLevelType w:val="hybridMultilevel"/>
    <w:tmpl w:val="646866BE"/>
    <w:lvl w:ilvl="0" w:tplc="E200C0EA">
      <w:start w:val="1"/>
      <w:numFmt w:val="lowerLetter"/>
      <w:lvlText w:val="(%1)"/>
      <w:lvlJc w:val="left"/>
      <w:pPr>
        <w:ind w:left="19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A58FCFE">
      <w:start w:val="1"/>
      <w:numFmt w:val="lowerLetter"/>
      <w:lvlText w:val="%2"/>
      <w:lvlJc w:val="left"/>
      <w:pPr>
        <w:ind w:left="3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C5AC1C6">
      <w:start w:val="1"/>
      <w:numFmt w:val="lowerRoman"/>
      <w:lvlText w:val="%3"/>
      <w:lvlJc w:val="left"/>
      <w:pPr>
        <w:ind w:left="39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090CEE0">
      <w:start w:val="1"/>
      <w:numFmt w:val="decimal"/>
      <w:lvlText w:val="%4"/>
      <w:lvlJc w:val="left"/>
      <w:pPr>
        <w:ind w:left="46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78680A8">
      <w:start w:val="1"/>
      <w:numFmt w:val="lowerLetter"/>
      <w:lvlText w:val="%5"/>
      <w:lvlJc w:val="left"/>
      <w:pPr>
        <w:ind w:left="54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EA81842">
      <w:start w:val="1"/>
      <w:numFmt w:val="lowerRoman"/>
      <w:lvlText w:val="%6"/>
      <w:lvlJc w:val="left"/>
      <w:pPr>
        <w:ind w:left="61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010C112">
      <w:start w:val="1"/>
      <w:numFmt w:val="decimal"/>
      <w:lvlText w:val="%7"/>
      <w:lvlJc w:val="left"/>
      <w:pPr>
        <w:ind w:left="68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ACA40E4">
      <w:start w:val="1"/>
      <w:numFmt w:val="lowerLetter"/>
      <w:lvlText w:val="%8"/>
      <w:lvlJc w:val="left"/>
      <w:pPr>
        <w:ind w:left="75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C18AB52">
      <w:start w:val="1"/>
      <w:numFmt w:val="lowerRoman"/>
      <w:lvlText w:val="%9"/>
      <w:lvlJc w:val="left"/>
      <w:pPr>
        <w:ind w:left="82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7EE5787"/>
    <w:multiLevelType w:val="hybridMultilevel"/>
    <w:tmpl w:val="2D7E8C10"/>
    <w:lvl w:ilvl="0" w:tplc="B202A6FA">
      <w:start w:val="1"/>
      <w:numFmt w:val="lowerLetter"/>
      <w:lvlText w:val="%1."/>
      <w:lvlJc w:val="left"/>
      <w:pPr>
        <w:ind w:left="2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39A162C">
      <w:start w:val="1"/>
      <w:numFmt w:val="lowerLetter"/>
      <w:lvlText w:val="%2"/>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BE4E02">
      <w:start w:val="1"/>
      <w:numFmt w:val="lowerRoman"/>
      <w:lvlText w:val="%3"/>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7DEEA74">
      <w:start w:val="1"/>
      <w:numFmt w:val="decimal"/>
      <w:lvlText w:val="%4"/>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4263DB4">
      <w:start w:val="1"/>
      <w:numFmt w:val="lowerLetter"/>
      <w:lvlText w:val="%5"/>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77CC436">
      <w:start w:val="1"/>
      <w:numFmt w:val="lowerRoman"/>
      <w:lvlText w:val="%6"/>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6B2B946">
      <w:start w:val="1"/>
      <w:numFmt w:val="decimal"/>
      <w:lvlText w:val="%7"/>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B2AE74">
      <w:start w:val="1"/>
      <w:numFmt w:val="lowerLetter"/>
      <w:lvlText w:val="%8"/>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EEDEC8">
      <w:start w:val="1"/>
      <w:numFmt w:val="lowerRoman"/>
      <w:lvlText w:val="%9"/>
      <w:lvlJc w:val="left"/>
      <w:pPr>
        <w:ind w:left="72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8A25CCE"/>
    <w:multiLevelType w:val="multilevel"/>
    <w:tmpl w:val="31BC6CD8"/>
    <w:lvl w:ilvl="0">
      <w:start w:val="9"/>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1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2FE5ED0"/>
    <w:multiLevelType w:val="hybridMultilevel"/>
    <w:tmpl w:val="20B64502"/>
    <w:lvl w:ilvl="0" w:tplc="B75A856A">
      <w:start w:val="1"/>
      <w:numFmt w:val="lowerLetter"/>
      <w:lvlText w:val="%1."/>
      <w:lvlJc w:val="left"/>
      <w:pPr>
        <w:ind w:left="35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E219DA">
      <w:start w:val="1"/>
      <w:numFmt w:val="lowerLetter"/>
      <w:lvlText w:val="%2"/>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60A7612">
      <w:start w:val="1"/>
      <w:numFmt w:val="lowerRoman"/>
      <w:lvlText w:val="%3"/>
      <w:lvlJc w:val="left"/>
      <w:pPr>
        <w:ind w:left="43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BE09370">
      <w:start w:val="1"/>
      <w:numFmt w:val="decimal"/>
      <w:lvlText w:val="%4"/>
      <w:lvlJc w:val="left"/>
      <w:pPr>
        <w:ind w:left="50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18E40E8">
      <w:start w:val="1"/>
      <w:numFmt w:val="lowerLetter"/>
      <w:lvlText w:val="%5"/>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1E5032">
      <w:start w:val="1"/>
      <w:numFmt w:val="lowerRoman"/>
      <w:lvlText w:val="%6"/>
      <w:lvlJc w:val="left"/>
      <w:pPr>
        <w:ind w:left="64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6F410EC">
      <w:start w:val="1"/>
      <w:numFmt w:val="decimal"/>
      <w:lvlText w:val="%7"/>
      <w:lvlJc w:val="left"/>
      <w:pPr>
        <w:ind w:left="71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FAE700">
      <w:start w:val="1"/>
      <w:numFmt w:val="lowerLetter"/>
      <w:lvlText w:val="%8"/>
      <w:lvlJc w:val="left"/>
      <w:pPr>
        <w:ind w:left="79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3086FCC">
      <w:start w:val="1"/>
      <w:numFmt w:val="lowerRoman"/>
      <w:lvlText w:val="%9"/>
      <w:lvlJc w:val="left"/>
      <w:pPr>
        <w:ind w:left="8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E6111C8"/>
    <w:multiLevelType w:val="hybridMultilevel"/>
    <w:tmpl w:val="AD728CF6"/>
    <w:lvl w:ilvl="0" w:tplc="19F2B19A">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E78F892">
      <w:start w:val="1"/>
      <w:numFmt w:val="bullet"/>
      <w:lvlText w:val="o"/>
      <w:lvlJc w:val="left"/>
      <w:pPr>
        <w:ind w:left="12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1443C36">
      <w:start w:val="1"/>
      <w:numFmt w:val="bullet"/>
      <w:lvlRestart w:val="0"/>
      <w:lvlText w:val="•"/>
      <w:lvlJc w:val="left"/>
      <w:pPr>
        <w:ind w:left="27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F923DF4">
      <w:start w:val="1"/>
      <w:numFmt w:val="bullet"/>
      <w:lvlText w:val="•"/>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4287390">
      <w:start w:val="1"/>
      <w:numFmt w:val="bullet"/>
      <w:lvlText w:val="o"/>
      <w:lvlJc w:val="left"/>
      <w:pPr>
        <w:ind w:left="35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048D1CA">
      <w:start w:val="1"/>
      <w:numFmt w:val="bullet"/>
      <w:lvlText w:val="▪"/>
      <w:lvlJc w:val="left"/>
      <w:pPr>
        <w:ind w:left="42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94E16C4">
      <w:start w:val="1"/>
      <w:numFmt w:val="bullet"/>
      <w:lvlText w:val="•"/>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A2A8AE">
      <w:start w:val="1"/>
      <w:numFmt w:val="bullet"/>
      <w:lvlText w:val="o"/>
      <w:lvlJc w:val="left"/>
      <w:pPr>
        <w:ind w:left="56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5C8A2E">
      <w:start w:val="1"/>
      <w:numFmt w:val="bullet"/>
      <w:lvlText w:val="▪"/>
      <w:lvlJc w:val="left"/>
      <w:pPr>
        <w:ind w:left="63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EFF59C8"/>
    <w:multiLevelType w:val="hybridMultilevel"/>
    <w:tmpl w:val="413285C2"/>
    <w:lvl w:ilvl="0" w:tplc="FAB0FED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BB8A1E6">
      <w:start w:val="1"/>
      <w:numFmt w:val="bullet"/>
      <w:lvlText w:val="o"/>
      <w:lvlJc w:val="left"/>
      <w:pPr>
        <w:ind w:left="12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BF86EDC">
      <w:start w:val="1"/>
      <w:numFmt w:val="bullet"/>
      <w:lvlRestart w:val="0"/>
      <w:lvlText w:val="•"/>
      <w:lvlJc w:val="left"/>
      <w:pPr>
        <w:ind w:left="27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4B0226A">
      <w:start w:val="1"/>
      <w:numFmt w:val="bullet"/>
      <w:lvlText w:val="•"/>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D4A80E">
      <w:start w:val="1"/>
      <w:numFmt w:val="bullet"/>
      <w:lvlText w:val="o"/>
      <w:lvlJc w:val="left"/>
      <w:pPr>
        <w:ind w:left="35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BCA66D2">
      <w:start w:val="1"/>
      <w:numFmt w:val="bullet"/>
      <w:lvlText w:val="▪"/>
      <w:lvlJc w:val="left"/>
      <w:pPr>
        <w:ind w:left="42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CE2C0C0">
      <w:start w:val="1"/>
      <w:numFmt w:val="bullet"/>
      <w:lvlText w:val="•"/>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8360022">
      <w:start w:val="1"/>
      <w:numFmt w:val="bullet"/>
      <w:lvlText w:val="o"/>
      <w:lvlJc w:val="left"/>
      <w:pPr>
        <w:ind w:left="56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30A7B9C">
      <w:start w:val="1"/>
      <w:numFmt w:val="bullet"/>
      <w:lvlText w:val="▪"/>
      <w:lvlJc w:val="left"/>
      <w:pPr>
        <w:ind w:left="63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1C82221"/>
    <w:multiLevelType w:val="hybridMultilevel"/>
    <w:tmpl w:val="20108ABE"/>
    <w:lvl w:ilvl="0" w:tplc="309C43EC">
      <w:start w:val="1"/>
      <w:numFmt w:val="lowerLetter"/>
      <w:lvlText w:val="%1."/>
      <w:lvlJc w:val="left"/>
      <w:pPr>
        <w:ind w:left="1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DC443FC">
      <w:start w:val="1"/>
      <w:numFmt w:val="bullet"/>
      <w:lvlText w:val="•"/>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D6ABA62">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4EE1378">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8DA67FE">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3C8C02A">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FA03F02">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644E684">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1144428">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52B60B1"/>
    <w:multiLevelType w:val="hybridMultilevel"/>
    <w:tmpl w:val="488CAA92"/>
    <w:lvl w:ilvl="0" w:tplc="4C827542">
      <w:start w:val="1"/>
      <w:numFmt w:val="lowerLetter"/>
      <w:lvlText w:val="%1."/>
      <w:lvlJc w:val="left"/>
      <w:pPr>
        <w:ind w:left="2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9BA6898">
      <w:start w:val="1"/>
      <w:numFmt w:val="lowerLetter"/>
      <w:lvlText w:val="%2"/>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7146F0A">
      <w:start w:val="1"/>
      <w:numFmt w:val="lowerRoman"/>
      <w:lvlText w:val="%3"/>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0E2518C">
      <w:start w:val="1"/>
      <w:numFmt w:val="decimal"/>
      <w:lvlText w:val="%4"/>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2F2BB02">
      <w:start w:val="1"/>
      <w:numFmt w:val="lowerLetter"/>
      <w:lvlText w:val="%5"/>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0C01C18">
      <w:start w:val="1"/>
      <w:numFmt w:val="lowerRoman"/>
      <w:lvlText w:val="%6"/>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32C511E">
      <w:start w:val="1"/>
      <w:numFmt w:val="decimal"/>
      <w:lvlText w:val="%7"/>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F65D00">
      <w:start w:val="1"/>
      <w:numFmt w:val="lowerLetter"/>
      <w:lvlText w:val="%8"/>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44FE38">
      <w:start w:val="1"/>
      <w:numFmt w:val="lowerRoman"/>
      <w:lvlText w:val="%9"/>
      <w:lvlJc w:val="left"/>
      <w:pPr>
        <w:ind w:left="72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6"/>
  </w:num>
  <w:num w:numId="2">
    <w:abstractNumId w:val="3"/>
  </w:num>
  <w:num w:numId="3">
    <w:abstractNumId w:val="0"/>
  </w:num>
  <w:num w:numId="4">
    <w:abstractNumId w:val="8"/>
  </w:num>
  <w:num w:numId="5">
    <w:abstractNumId w:val="2"/>
  </w:num>
  <w:num w:numId="6">
    <w:abstractNumId w:val="15"/>
  </w:num>
  <w:num w:numId="7">
    <w:abstractNumId w:val="9"/>
  </w:num>
  <w:num w:numId="8">
    <w:abstractNumId w:val="4"/>
  </w:num>
  <w:num w:numId="9">
    <w:abstractNumId w:val="11"/>
  </w:num>
  <w:num w:numId="10">
    <w:abstractNumId w:val="10"/>
  </w:num>
  <w:num w:numId="11">
    <w:abstractNumId w:val="5"/>
  </w:num>
  <w:num w:numId="12">
    <w:abstractNumId w:val="6"/>
  </w:num>
  <w:num w:numId="13">
    <w:abstractNumId w:val="13"/>
  </w:num>
  <w:num w:numId="14">
    <w:abstractNumId w:val="12"/>
  </w:num>
  <w:num w:numId="15">
    <w:abstractNumId w:val="14"/>
  </w:num>
  <w:num w:numId="16">
    <w:abstractNumId w:val="1"/>
  </w:num>
  <w:num w:numId="17">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0008"/>
    <w:rsid w:val="000574E9"/>
    <w:rsid w:val="00123B48"/>
    <w:rsid w:val="001649BE"/>
    <w:rsid w:val="002E32B7"/>
    <w:rsid w:val="00336691"/>
    <w:rsid w:val="00395C1A"/>
    <w:rsid w:val="00412D4E"/>
    <w:rsid w:val="004C111F"/>
    <w:rsid w:val="00503E45"/>
    <w:rsid w:val="00562676"/>
    <w:rsid w:val="00597414"/>
    <w:rsid w:val="005B4E76"/>
    <w:rsid w:val="005C04C4"/>
    <w:rsid w:val="00616D25"/>
    <w:rsid w:val="00692171"/>
    <w:rsid w:val="00717FD0"/>
    <w:rsid w:val="007335CD"/>
    <w:rsid w:val="00793CD9"/>
    <w:rsid w:val="007E12FE"/>
    <w:rsid w:val="0081513E"/>
    <w:rsid w:val="00826DDA"/>
    <w:rsid w:val="00880F36"/>
    <w:rsid w:val="008F480A"/>
    <w:rsid w:val="009454EF"/>
    <w:rsid w:val="009612FD"/>
    <w:rsid w:val="00A4427B"/>
    <w:rsid w:val="00A663BD"/>
    <w:rsid w:val="00BF1FD7"/>
    <w:rsid w:val="00D236B6"/>
    <w:rsid w:val="00D2581B"/>
    <w:rsid w:val="00D44FC1"/>
    <w:rsid w:val="00DC54C2"/>
    <w:rsid w:val="00E067A8"/>
    <w:rsid w:val="00E63C82"/>
    <w:rsid w:val="00E86078"/>
    <w:rsid w:val="00E94174"/>
    <w:rsid w:val="00F00591"/>
    <w:rsid w:val="00F168FF"/>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845C37A"/>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next w:val="Normal"/>
    <w:link w:val="Heading3Char"/>
    <w:uiPriority w:val="9"/>
    <w:unhideWhenUsed/>
    <w:qFormat/>
    <w:rsid w:val="00793CD9"/>
    <w:pPr>
      <w:keepNext/>
      <w:keepLines/>
      <w:spacing w:after="159" w:line="259" w:lineRule="auto"/>
      <w:ind w:left="718" w:hanging="10"/>
      <w:outlineLvl w:val="2"/>
    </w:pPr>
    <w:rPr>
      <w:rFonts w:ascii="Arial" w:eastAsia="Arial" w:hAnsi="Arial" w:cs="Arial"/>
      <w:b/>
      <w:color w:val="000000"/>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basedOn w:val="DefaultParagraphFont"/>
    <w:link w:val="Heading3"/>
    <w:rsid w:val="00793CD9"/>
    <w:rPr>
      <w:rFonts w:ascii="Arial" w:eastAsia="Arial" w:hAnsi="Arial" w:cs="Arial"/>
      <w:b/>
      <w:color w:val="000000"/>
      <w:sz w:val="24"/>
      <w:lang w:eastAsia="en-GB"/>
    </w:rPr>
  </w:style>
  <w:style w:type="paragraph" w:customStyle="1" w:styleId="footnotedescription">
    <w:name w:val="footnote description"/>
    <w:next w:val="Normal"/>
    <w:link w:val="footnotedescriptionChar"/>
    <w:hidden/>
    <w:rsid w:val="00793CD9"/>
    <w:pPr>
      <w:spacing w:after="0" w:line="255" w:lineRule="auto"/>
      <w:ind w:left="1416" w:hanging="708"/>
    </w:pPr>
    <w:rPr>
      <w:rFonts w:ascii="Arial" w:eastAsia="Arial" w:hAnsi="Arial" w:cs="Arial"/>
      <w:color w:val="0563C1"/>
      <w:sz w:val="20"/>
      <w:u w:val="single" w:color="0563C1"/>
      <w:lang w:eastAsia="en-GB"/>
    </w:rPr>
  </w:style>
  <w:style w:type="character" w:customStyle="1" w:styleId="footnotedescriptionChar">
    <w:name w:val="footnote description Char"/>
    <w:link w:val="footnotedescription"/>
    <w:rsid w:val="00793CD9"/>
    <w:rPr>
      <w:rFonts w:ascii="Arial" w:eastAsia="Arial" w:hAnsi="Arial" w:cs="Arial"/>
      <w:color w:val="0563C1"/>
      <w:sz w:val="20"/>
      <w:u w:val="single" w:color="0563C1"/>
      <w:lang w:eastAsia="en-GB"/>
    </w:rPr>
  </w:style>
  <w:style w:type="paragraph" w:styleId="TOC1">
    <w:name w:val="toc 1"/>
    <w:hidden/>
    <w:rsid w:val="00793CD9"/>
    <w:pPr>
      <w:spacing w:after="106" w:line="265" w:lineRule="auto"/>
      <w:ind w:left="25" w:right="23" w:hanging="10"/>
    </w:pPr>
    <w:rPr>
      <w:rFonts w:ascii="Arial" w:eastAsia="Arial" w:hAnsi="Arial" w:cs="Arial"/>
      <w:color w:val="000000"/>
      <w:sz w:val="24"/>
      <w:lang w:eastAsia="en-GB"/>
    </w:rPr>
  </w:style>
  <w:style w:type="paragraph" w:styleId="TOC2">
    <w:name w:val="toc 2"/>
    <w:hidden/>
    <w:rsid w:val="00793CD9"/>
    <w:pPr>
      <w:spacing w:after="109" w:line="265" w:lineRule="auto"/>
      <w:ind w:left="265" w:right="23" w:hanging="10"/>
    </w:pPr>
    <w:rPr>
      <w:rFonts w:ascii="Arial" w:eastAsia="Arial" w:hAnsi="Arial" w:cs="Arial"/>
      <w:color w:val="000000"/>
      <w:sz w:val="24"/>
      <w:lang w:eastAsia="en-GB"/>
    </w:rPr>
  </w:style>
  <w:style w:type="character" w:customStyle="1" w:styleId="footnotemark">
    <w:name w:val="footnote mark"/>
    <w:hidden/>
    <w:rsid w:val="00793CD9"/>
    <w:rPr>
      <w:rFonts w:ascii="Arial" w:eastAsia="Arial" w:hAnsi="Arial" w:cs="Arial"/>
      <w:color w:val="000000"/>
      <w:sz w:val="20"/>
      <w:vertAlign w:val="superscript"/>
    </w:rPr>
  </w:style>
  <w:style w:type="table" w:customStyle="1" w:styleId="TableGrid0">
    <w:name w:val="TableGrid"/>
    <w:rsid w:val="00793CD9"/>
    <w:pPr>
      <w:spacing w:after="0" w:line="240" w:lineRule="auto"/>
    </w:pPr>
    <w:rPr>
      <w:rFonts w:eastAsiaTheme="minorEastAsia"/>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uk/guidance/accessibility-requirements-for-public-sector-websites-and-apps"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uk/guidance/accessibility-requirements-for-public-sector-websites-and-app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uidance/accessibility-requirements-for-public-sector-websites-and-app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gov.uk/"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gov.uk/"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statistics/income-tax-liabilities-statistics-tax-year-2019-to-2020-to-tax-year-2022-to-2023/summary-statistics" TargetMode="External"/><Relationship Id="rId7" Type="http://schemas.openxmlformats.org/officeDocument/2006/relationships/hyperlink" Target="https://www.gov.uk/government/publications/ots-evaluation-paper-on-the-high-income-child-benefit-charge" TargetMode="External"/><Relationship Id="rId2" Type="http://schemas.openxmlformats.org/officeDocument/2006/relationships/hyperlink" Target="https://www.gov.uk/government/statistics/households-below-average-income-for-financial-years-ending-1995-to-2020/households-below-average-income-an-analysis-of-the-income-distribution-fye-1995-to-fye-2020" TargetMode="External"/><Relationship Id="rId1" Type="http://schemas.openxmlformats.org/officeDocument/2006/relationships/hyperlink" Target="https://www.gov.uk/government/statistics/households-below-average-income-for-financial-years-ending-1995-to-2020/households-below-average-income-an-analysis-of-the-income-distribution-fye-1995-to-fye-2020" TargetMode="External"/><Relationship Id="rId6" Type="http://schemas.openxmlformats.org/officeDocument/2006/relationships/hyperlink" Target="https://www.gov.uk/government/publications/ots-evaluation-paper-on-the-high-income-child-benefit-charge" TargetMode="External"/><Relationship Id="rId5" Type="http://schemas.openxmlformats.org/officeDocument/2006/relationships/hyperlink" Target="https://www.gov.uk/government/publications/ots-evaluation-paper-on-the-high-income-child-benefit-charge" TargetMode="External"/><Relationship Id="rId4" Type="http://schemas.openxmlformats.org/officeDocument/2006/relationships/hyperlink" Target="https://www.gov.uk/government/statistics/income-tax-liabilities-statistics-tax-year-2019-to-2020-to-tax-year-2022-to-2023/summary-statis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95B53-42D8-474C-A794-E5C8C617C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5789</Words>
  <Characters>33001</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Akubat, Husain (Commercial)</cp:lastModifiedBy>
  <cp:revision>4</cp:revision>
  <dcterms:created xsi:type="dcterms:W3CDTF">2022-11-28T10:11:00Z</dcterms:created>
  <dcterms:modified xsi:type="dcterms:W3CDTF">2022-11-29T10:00:00Z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SIP_Label_f9af038e-07b4-4369-a678-c835687cb272_Enabled">
    <vt:lpwstr>true</vt:lpwstr>
  </property>
  <property fmtid="{D5CDD505-2E9C-101B-9397-08002B2CF9AE}" pid="4" name="MSIP_Label_f9af038e-07b4-4369-a678-c835687cb272_SetDate">
    <vt:lpwstr>2022-11-28T10:11:14Z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67cd2e67-8d1f-4a60-85ac-d3ea7b5bb4a9</vt:lpwstr>
  </property>
  <property fmtid="{D5CDD505-2E9C-101B-9397-08002B2CF9AE}" pid="9" name="MSIP_Label_f9af038e-07b4-4369-a678-c835687cb272_ContentBits">
    <vt:lpwstr>2</vt:lpwstr>
  </property>
</Properties>
</file>